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Додаток № 1</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 Правил проведення</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 xml:space="preserve">фінансового моніторингу </w:t>
      </w:r>
    </w:p>
    <w:p w:rsidR="00091FD9" w:rsidRPr="00F33850" w:rsidRDefault="00091FD9" w:rsidP="00091FD9">
      <w:pPr>
        <w:pStyle w:val="3"/>
        <w:spacing w:before="0" w:after="0"/>
        <w:ind w:left="6237" w:firstLine="540"/>
        <w:jc w:val="right"/>
        <w:rPr>
          <w:rFonts w:ascii="Cambria" w:hAnsi="Cambria" w:cs="Times New Roman"/>
          <w:color w:val="000000"/>
          <w:sz w:val="16"/>
          <w:szCs w:val="16"/>
          <w:lang w:val="uk-UA"/>
        </w:rPr>
      </w:pPr>
      <w:r w:rsidRPr="00F33850">
        <w:rPr>
          <w:rFonts w:ascii="Cambria" w:hAnsi="Cambria" w:cs="Times New Roman"/>
          <w:color w:val="000000"/>
          <w:sz w:val="16"/>
          <w:szCs w:val="16"/>
          <w:lang w:val="uk-UA"/>
        </w:rPr>
        <w:t>Анкета-опитувальник для юридичної особи</w:t>
      </w:r>
    </w:p>
    <w:p w:rsidR="00091FD9" w:rsidRPr="00F33850" w:rsidRDefault="00091FD9" w:rsidP="00091FD9">
      <w:pPr>
        <w:pStyle w:val="3"/>
        <w:spacing w:before="120"/>
        <w:ind w:left="-720"/>
        <w:jc w:val="center"/>
        <w:rPr>
          <w:rFonts w:ascii="Times New Roman" w:hAnsi="Times New Roman" w:cs="Times New Roman"/>
          <w:i/>
          <w:color w:val="000000"/>
          <w:sz w:val="18"/>
          <w:szCs w:val="18"/>
          <w:lang w:val="uk-UA"/>
        </w:rPr>
      </w:pPr>
      <w:r w:rsidRPr="00F33850">
        <w:rPr>
          <w:rFonts w:ascii="Times New Roman" w:hAnsi="Times New Roman" w:cs="Times New Roman"/>
          <w:i/>
          <w:color w:val="000000"/>
          <w:spacing w:val="2"/>
          <w:sz w:val="18"/>
          <w:szCs w:val="18"/>
          <w:lang w:val="uk-UA"/>
        </w:rPr>
        <w:t>Шановний(а) пан(і)</w:t>
      </w:r>
      <w:r w:rsidRPr="00F33850">
        <w:rPr>
          <w:rFonts w:ascii="Times New Roman" w:hAnsi="Times New Roman" w:cs="Times New Roman"/>
          <w:i/>
          <w:color w:val="000000"/>
          <w:sz w:val="18"/>
          <w:szCs w:val="18"/>
          <w:lang w:val="uk-UA"/>
        </w:rPr>
        <w:t>!</w:t>
      </w:r>
    </w:p>
    <w:p w:rsidR="00091FD9" w:rsidRPr="00F33850" w:rsidRDefault="00091FD9" w:rsidP="00091FD9">
      <w:pPr>
        <w:pStyle w:val="3"/>
        <w:jc w:val="both"/>
        <w:rPr>
          <w:rFonts w:ascii="Times New Roman" w:hAnsi="Times New Roman" w:cs="Times New Roman"/>
          <w:sz w:val="18"/>
          <w:szCs w:val="18"/>
          <w:lang w:val="uk-UA"/>
        </w:rPr>
      </w:pPr>
      <w:r w:rsidRPr="00F33850">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F33850" w:rsidRDefault="00B411F6" w:rsidP="00091FD9">
      <w:pPr>
        <w:ind w:left="-720"/>
        <w:jc w:val="both"/>
        <w:rPr>
          <w:sz w:val="20"/>
          <w:szCs w:val="20"/>
          <w:lang w:val="uk-UA"/>
        </w:rPr>
      </w:pPr>
      <w:r w:rsidRPr="00F33850">
        <w:rPr>
          <w:sz w:val="20"/>
          <w:szCs w:val="20"/>
          <w:lang w:val="uk-UA"/>
        </w:rPr>
        <w:t xml:space="preserve">               </w:t>
      </w:r>
      <w:r w:rsidR="00B60674" w:rsidRPr="00F33850">
        <w:rPr>
          <w:b/>
          <w:color w:val="000000"/>
          <w:sz w:val="20"/>
          <w:szCs w:val="20"/>
          <w:lang w:val="uk-UA"/>
        </w:rPr>
        <w:t>1. Ідентифікаційна інформація про клієнта</w:t>
      </w:r>
    </w:p>
    <w:p w:rsidR="00091FD9" w:rsidRPr="00F33850" w:rsidRDefault="00B411F6" w:rsidP="00091FD9">
      <w:pPr>
        <w:rPr>
          <w:sz w:val="18"/>
          <w:szCs w:val="18"/>
          <w:lang w:val="uk-UA"/>
        </w:rPr>
      </w:pPr>
      <w:r w:rsidRPr="00F33850">
        <w:rPr>
          <w:sz w:val="18"/>
          <w:szCs w:val="18"/>
          <w:lang w:val="uk-UA"/>
        </w:rPr>
        <w:t>1.</w:t>
      </w:r>
      <w:r w:rsidR="00B60674" w:rsidRPr="00F33850">
        <w:rPr>
          <w:sz w:val="18"/>
          <w:szCs w:val="18"/>
          <w:lang w:val="uk-UA"/>
        </w:rPr>
        <w:t>1.</w:t>
      </w:r>
      <w:r w:rsidR="00091FD9" w:rsidRPr="00F33850">
        <w:rPr>
          <w:sz w:val="18"/>
          <w:szCs w:val="18"/>
          <w:lang w:val="uk-UA"/>
        </w:rPr>
        <w:t xml:space="preserve">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091FD9" w:rsidRPr="00F33850" w:rsidTr="00866DB1">
        <w:tc>
          <w:tcPr>
            <w:tcW w:w="9720" w:type="dxa"/>
            <w:tcBorders>
              <w:bottom w:val="single" w:sz="4" w:space="0" w:color="auto"/>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3. </w:t>
      </w:r>
      <w:r w:rsidR="00DF2989" w:rsidRPr="00F33850">
        <w:rPr>
          <w:rFonts w:ascii="Times New Roman" w:hAnsi="Times New Roman"/>
          <w:sz w:val="18"/>
          <w:szCs w:val="18"/>
        </w:rPr>
        <w:t>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497C7C">
        <w:tc>
          <w:tcPr>
            <w:tcW w:w="9720" w:type="dxa"/>
            <w:tcBorders>
              <w:top w:val="nil"/>
              <w:left w:val="nil"/>
              <w:right w:val="nil"/>
            </w:tcBorders>
            <w:shd w:val="clear" w:color="auto" w:fill="FFFF00"/>
          </w:tcPr>
          <w:p w:rsidR="00091FD9" w:rsidRPr="00F33850" w:rsidRDefault="00091FD9" w:rsidP="00091FD9">
            <w:pPr>
              <w:ind w:left="-720"/>
              <w:rPr>
                <w:sz w:val="18"/>
                <w:szCs w:val="18"/>
                <w:lang w:val="uk-UA"/>
              </w:rPr>
            </w:pPr>
            <w:bookmarkStart w:id="0" w:name="_GoBack"/>
            <w:bookmarkEnd w:id="0"/>
          </w:p>
        </w:tc>
      </w:tr>
    </w:tbl>
    <w:p w:rsidR="008524D2" w:rsidRPr="00F33850" w:rsidRDefault="00B60674" w:rsidP="008524D2">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w:t>
      </w:r>
      <w:r w:rsidR="00091FD9" w:rsidRPr="00F33850">
        <w:rPr>
          <w:rFonts w:ascii="Times New Roman" w:hAnsi="Times New Roman"/>
          <w:sz w:val="18"/>
          <w:szCs w:val="18"/>
        </w:rPr>
        <w:t>5.</w:t>
      </w:r>
      <w:r w:rsidR="008524D2" w:rsidRPr="00F33850">
        <w:rPr>
          <w:rFonts w:ascii="Cambria" w:eastAsia="Calibri" w:hAnsi="Cambria"/>
          <w:sz w:val="20"/>
          <w:lang w:eastAsia="en-US"/>
        </w:rPr>
        <w:t xml:space="preserve"> </w:t>
      </w:r>
      <w:r w:rsidR="008524D2" w:rsidRPr="00F33850">
        <w:rPr>
          <w:rFonts w:ascii="Times New Roman" w:eastAsia="Calibri" w:hAnsi="Times New Roman"/>
          <w:sz w:val="18"/>
          <w:szCs w:val="18"/>
          <w:lang w:eastAsia="en-US"/>
        </w:rPr>
        <w:t xml:space="preserve">Відомості про виконавчий орган </w:t>
      </w:r>
      <w:r w:rsidR="008524D2" w:rsidRPr="00F33850">
        <w:rPr>
          <w:rFonts w:ascii="Times New Roman" w:eastAsia="Calibri" w:hAnsi="Times New Roman"/>
          <w:i/>
          <w:sz w:val="18"/>
          <w:szCs w:val="18"/>
          <w:lang w:eastAsia="en-US"/>
        </w:rPr>
        <w:t>(для резидентів)/</w:t>
      </w:r>
      <w:r w:rsidR="008524D2" w:rsidRPr="00F33850">
        <w:rPr>
          <w:rFonts w:ascii="Times New Roman" w:eastAsia="Calibri" w:hAnsi="Times New Roman"/>
          <w:sz w:val="18"/>
          <w:szCs w:val="18"/>
          <w:lang w:eastAsia="en-US"/>
        </w:rPr>
        <w:t xml:space="preserve"> Відомості про органи управління </w:t>
      </w:r>
      <w:r w:rsidR="008524D2"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DF2989">
      <w:pPr>
        <w:rPr>
          <w:b/>
          <w:color w:val="000000"/>
          <w:sz w:val="18"/>
          <w:szCs w:val="18"/>
          <w:lang w:val="uk-UA"/>
        </w:rPr>
      </w:pPr>
      <w:r w:rsidRPr="00F33850">
        <w:rPr>
          <w:sz w:val="18"/>
          <w:szCs w:val="18"/>
          <w:lang w:val="uk-UA"/>
        </w:rPr>
        <w:t>1.</w:t>
      </w:r>
      <w:r w:rsidR="00091FD9" w:rsidRPr="00F33850">
        <w:rPr>
          <w:sz w:val="18"/>
          <w:szCs w:val="18"/>
          <w:lang w:val="uk-UA"/>
        </w:rPr>
        <w:t xml:space="preserve">6. </w:t>
      </w:r>
      <w:r w:rsidR="00DF2989" w:rsidRPr="00F33850">
        <w:rPr>
          <w:sz w:val="18"/>
          <w:szCs w:val="18"/>
          <w:lang w:val="uk-UA"/>
        </w:rPr>
        <w:t xml:space="preserve">Реквізити реєстраційного посвідчення або витягу з торговельного чи судового реєстру </w:t>
      </w:r>
      <w:r w:rsidR="00DF2989" w:rsidRPr="00F33850">
        <w:rPr>
          <w:i/>
          <w:sz w:val="18"/>
          <w:szCs w:val="18"/>
          <w:lang w:val="uk-UA"/>
        </w:rPr>
        <w:t>(для нерезидентів):</w:t>
      </w:r>
      <w:r w:rsidR="00DF2989"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7. </w:t>
      </w:r>
      <w:r w:rsidR="008524D2"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008524D2" w:rsidRPr="00F33850">
        <w:rPr>
          <w:rFonts w:ascii="Times New Roman" w:eastAsia="Calibri" w:hAnsi="Times New Roman"/>
          <w:i/>
          <w:color w:val="000000"/>
          <w:sz w:val="18"/>
          <w:szCs w:val="18"/>
          <w:lang w:eastAsia="en-US"/>
        </w:rPr>
        <w:t>(для резидентів</w:t>
      </w:r>
      <w:r w:rsidR="008524D2"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 xml:space="preserve">8. </w:t>
      </w:r>
      <w:r w:rsidR="00DF2989" w:rsidRPr="00F33850">
        <w:rPr>
          <w:sz w:val="18"/>
          <w:szCs w:val="18"/>
          <w:lang w:val="uk-UA"/>
        </w:rPr>
        <w:t>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будинок,корпус,офіс):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5B5AD5" w:rsidRPr="00F33850" w:rsidRDefault="00B60674" w:rsidP="005B5AD5">
      <w:pPr>
        <w:rPr>
          <w:rFonts w:eastAsia="Calibri"/>
          <w:b/>
          <w:sz w:val="18"/>
          <w:szCs w:val="18"/>
          <w:vertAlign w:val="superscript"/>
          <w:lang w:val="uk-UA" w:eastAsia="en-US"/>
        </w:rPr>
      </w:pPr>
      <w:r w:rsidRPr="00F33850">
        <w:rPr>
          <w:sz w:val="18"/>
          <w:szCs w:val="18"/>
          <w:lang w:val="uk-UA"/>
        </w:rPr>
        <w:t>1.</w:t>
      </w:r>
      <w:r w:rsidR="00091FD9" w:rsidRPr="00F33850">
        <w:rPr>
          <w:sz w:val="18"/>
          <w:szCs w:val="18"/>
          <w:lang w:val="uk-UA"/>
        </w:rPr>
        <w:t>9.</w:t>
      </w:r>
      <w:r w:rsidR="00DF2989" w:rsidRPr="00F33850">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F33850">
        <w:rPr>
          <w:rFonts w:eastAsia="Calibri"/>
          <w:sz w:val="18"/>
          <w:szCs w:val="18"/>
          <w:vertAlign w:val="superscript"/>
          <w:lang w:val="uk-UA" w:eastAsia="en-US"/>
        </w:rPr>
        <w:t xml:space="preserve"> </w:t>
      </w:r>
    </w:p>
    <w:p w:rsidR="00DF2989" w:rsidRPr="00F33850" w:rsidRDefault="00DF2989" w:rsidP="005B5AD5">
      <w:pPr>
        <w:rPr>
          <w:rFonts w:ascii="Cambria" w:hAnsi="Cambria"/>
          <w:color w:val="000000"/>
          <w:sz w:val="18"/>
          <w:szCs w:val="18"/>
          <w:lang w:val="uk-UA"/>
        </w:rPr>
      </w:pPr>
      <w:r w:rsidRPr="00F33850">
        <w:rPr>
          <w:rFonts w:eastAsia="Calibri"/>
          <w:b/>
          <w:sz w:val="18"/>
          <w:szCs w:val="18"/>
          <w:lang w:val="uk-UA" w:eastAsia="en-US"/>
        </w:rPr>
        <w:t xml:space="preserve"> </w:t>
      </w:r>
      <w:r w:rsidRPr="00F33850">
        <w:rPr>
          <w:rFonts w:eastAsia="Calibri"/>
          <w:sz w:val="18"/>
          <w:szCs w:val="18"/>
          <w:lang w:val="uk-UA" w:eastAsia="en-US"/>
        </w:rPr>
        <w:t>(</w:t>
      </w:r>
      <w:r w:rsidR="005B5AD5" w:rsidRPr="00F33850">
        <w:rPr>
          <w:rFonts w:eastAsia="Calibri"/>
          <w:sz w:val="18"/>
          <w:szCs w:val="18"/>
          <w:lang w:val="uk-UA" w:eastAsia="en-US"/>
        </w:rPr>
        <w:t>ПІБ; дата народження;</w:t>
      </w:r>
      <w:r w:rsidRPr="00F33850">
        <w:rPr>
          <w:rFonts w:eastAsia="Calibri"/>
          <w:i/>
          <w:sz w:val="18"/>
          <w:szCs w:val="18"/>
          <w:lang w:val="uk-UA" w:eastAsia="en-US"/>
        </w:rPr>
        <w:t xml:space="preserve"> </w:t>
      </w:r>
      <w:r w:rsidR="005B5AD5" w:rsidRPr="00F33850">
        <w:rPr>
          <w:rFonts w:eastAsia="Calibri"/>
          <w:i/>
          <w:sz w:val="18"/>
          <w:szCs w:val="18"/>
          <w:lang w:val="uk-UA" w:eastAsia="en-US"/>
        </w:rPr>
        <w:t>р</w:t>
      </w:r>
      <w:r w:rsidRPr="00F33850">
        <w:rPr>
          <w:sz w:val="18"/>
          <w:szCs w:val="18"/>
          <w:lang w:val="uk-UA"/>
        </w:rPr>
        <w:t>еквізити документа, що посвідчує  осо</w:t>
      </w:r>
      <w:r w:rsidR="005B5AD5" w:rsidRPr="00F33850">
        <w:rPr>
          <w:sz w:val="18"/>
          <w:szCs w:val="18"/>
          <w:lang w:val="uk-UA"/>
        </w:rPr>
        <w:t>бу та відповідно до законодавств</w:t>
      </w:r>
      <w:r w:rsidRPr="00F33850">
        <w:rPr>
          <w:sz w:val="18"/>
          <w:szCs w:val="18"/>
          <w:lang w:val="uk-UA"/>
        </w:rPr>
        <w:t>а України може бути використаним на території  України для укладення правочинів (назва, номер, серiя (за наявності, дата видачi, орган, що видав</w:t>
      </w:r>
      <w:r w:rsidR="005B5AD5" w:rsidRPr="00F33850">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F33850" w:rsidRDefault="005B5AD5" w:rsidP="00DF2989">
      <w:pPr>
        <w:pStyle w:val="a6"/>
        <w:ind w:firstLine="0"/>
        <w:jc w:val="left"/>
        <w:rPr>
          <w:rFonts w:ascii="Cambria" w:hAnsi="Cambria"/>
          <w:i/>
          <w:iCs/>
          <w:color w:val="000000"/>
          <w:sz w:val="18"/>
          <w:szCs w:val="18"/>
        </w:rPr>
      </w:pPr>
      <w:r w:rsidRPr="00F33850">
        <w:rPr>
          <w:rFonts w:ascii="Cambria" w:eastAsia="Calibri" w:hAnsi="Cambria"/>
          <w:i/>
          <w:color w:val="000000"/>
          <w:sz w:val="18"/>
          <w:szCs w:val="18"/>
          <w:lang w:eastAsia="en-US"/>
        </w:rPr>
        <w:t>(</w:t>
      </w:r>
      <w:r w:rsidR="00DF2989" w:rsidRPr="00F33850">
        <w:rPr>
          <w:rFonts w:ascii="Cambria" w:eastAsia="Calibri" w:hAnsi="Cambria"/>
          <w:i/>
          <w:color w:val="000000"/>
          <w:sz w:val="18"/>
          <w:szCs w:val="18"/>
          <w:lang w:eastAsia="en-US"/>
        </w:rPr>
        <w:t xml:space="preserve"> </w:t>
      </w:r>
      <w:r w:rsidR="00DF2989" w:rsidRPr="00F33850">
        <w:rPr>
          <w:rFonts w:ascii="Cambria" w:hAnsi="Cambria"/>
          <w:i/>
          <w:iCs/>
          <w:color w:val="000000"/>
          <w:sz w:val="18"/>
          <w:szCs w:val="18"/>
        </w:rPr>
        <w:t>За наявності декількох осіб, вказуються ідентифікаційні дані щодо кожної</w:t>
      </w:r>
      <w:r w:rsidR="00DF2989" w:rsidRPr="00F33850">
        <w:rPr>
          <w:rFonts w:ascii="Cambria" w:hAnsi="Cambria"/>
          <w:i/>
          <w:iCs/>
          <w:color w:val="FF00FF"/>
          <w:sz w:val="18"/>
          <w:szCs w:val="18"/>
        </w:rPr>
        <w:t xml:space="preserve"> </w:t>
      </w:r>
      <w:r w:rsidR="00DF2989" w:rsidRPr="00F33850">
        <w:rPr>
          <w:rFonts w:ascii="Cambria" w:hAnsi="Cambria"/>
          <w:i/>
          <w:iCs/>
          <w:color w:val="000000"/>
          <w:sz w:val="18"/>
          <w:szCs w:val="18"/>
        </w:rPr>
        <w:t>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B60674" w:rsidP="005B5AD5">
      <w:pPr>
        <w:rPr>
          <w:b/>
          <w:sz w:val="18"/>
          <w:szCs w:val="18"/>
          <w:lang w:val="uk-UA"/>
        </w:rPr>
      </w:pPr>
      <w:r w:rsidRPr="00F33850">
        <w:rPr>
          <w:sz w:val="18"/>
          <w:szCs w:val="18"/>
          <w:lang w:val="uk-UA"/>
        </w:rPr>
        <w:t>1.</w:t>
      </w:r>
      <w:r w:rsidR="00091FD9" w:rsidRPr="00F33850">
        <w:rPr>
          <w:sz w:val="18"/>
          <w:szCs w:val="18"/>
          <w:lang w:val="uk-UA"/>
        </w:rPr>
        <w:t xml:space="preserve">10.  </w:t>
      </w:r>
      <w:r w:rsidR="005B5AD5" w:rsidRPr="00F33850">
        <w:rPr>
          <w:sz w:val="18"/>
          <w:szCs w:val="18"/>
          <w:lang w:val="uk-UA"/>
        </w:rPr>
        <w:t>Дані, що дають змогу встановити кінцевих бенефіціарних власників</w:t>
      </w:r>
      <w:r w:rsidR="005B5AD5" w:rsidRPr="00F33850">
        <w:rPr>
          <w:i/>
          <w:sz w:val="18"/>
          <w:szCs w:val="18"/>
          <w:lang w:val="uk-UA"/>
        </w:rPr>
        <w:t xml:space="preserve"> (контролерів) </w:t>
      </w:r>
      <w:r w:rsidR="005B5AD5" w:rsidRPr="00F33850">
        <w:rPr>
          <w:i/>
          <w:sz w:val="18"/>
          <w:szCs w:val="18"/>
          <w:vertAlign w:val="superscript"/>
          <w:lang w:val="uk-UA"/>
        </w:rPr>
        <w:t>*</w:t>
      </w:r>
      <w:r w:rsidR="005B5AD5" w:rsidRPr="00F33850">
        <w:rPr>
          <w:sz w:val="18"/>
          <w:szCs w:val="18"/>
          <w:lang w:val="uk-UA"/>
        </w:rPr>
        <w:t>:</w:t>
      </w:r>
    </w:p>
    <w:p w:rsidR="00091FD9" w:rsidRPr="00F33850" w:rsidRDefault="005B5AD5" w:rsidP="005B5AD5">
      <w:pPr>
        <w:rPr>
          <w:sz w:val="18"/>
          <w:szCs w:val="18"/>
          <w:lang w:val="uk-UA"/>
        </w:rPr>
      </w:pPr>
      <w:r w:rsidRPr="00F33850">
        <w:rPr>
          <w:rFonts w:eastAsia="Calibri"/>
          <w:i/>
          <w:color w:val="000000"/>
          <w:sz w:val="18"/>
          <w:szCs w:val="18"/>
          <w:lang w:val="uk-UA" w:eastAsia="en-US"/>
        </w:rPr>
        <w:t>(</w:t>
      </w:r>
      <w:r w:rsidRPr="00F33850">
        <w:rPr>
          <w:i/>
          <w:iCs/>
          <w:color w:val="000000"/>
          <w:sz w:val="18"/>
          <w:szCs w:val="18"/>
          <w:lang w:val="uk-UA"/>
        </w:rPr>
        <w:t>За наявності декількох осіб, вказуються дані щодо кожної</w:t>
      </w:r>
      <w:r w:rsidRPr="00F33850">
        <w:rPr>
          <w:i/>
          <w:iCs/>
          <w:color w:val="FF00FF"/>
          <w:sz w:val="18"/>
          <w:szCs w:val="18"/>
          <w:lang w:val="uk-UA"/>
        </w:rPr>
        <w:t xml:space="preserve"> </w:t>
      </w:r>
      <w:r w:rsidRPr="00F33850">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091FD9" w:rsidP="005B5AD5">
      <w:pPr>
        <w:jc w:val="both"/>
        <w:rPr>
          <w:i/>
          <w:sz w:val="18"/>
          <w:szCs w:val="18"/>
          <w:lang w:val="uk-UA"/>
        </w:rPr>
      </w:pPr>
      <w:r w:rsidRPr="00F33850">
        <w:rPr>
          <w:i/>
          <w:color w:val="000000"/>
          <w:sz w:val="18"/>
          <w:szCs w:val="18"/>
          <w:lang w:val="uk-UA"/>
        </w:rPr>
        <w:t xml:space="preserve">*  </w:t>
      </w:r>
      <w:r w:rsidR="005B5AD5" w:rsidRPr="00F33850">
        <w:rPr>
          <w:b/>
          <w:i/>
          <w:sz w:val="18"/>
          <w:szCs w:val="18"/>
          <w:lang w:val="uk-UA"/>
        </w:rPr>
        <w:t>кінцевий бенефіціарний власник (контролер)</w:t>
      </w:r>
      <w:r w:rsidR="005B5AD5" w:rsidRPr="00F33850">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F33850" w:rsidRDefault="005B5AD5" w:rsidP="005B5AD5">
      <w:pPr>
        <w:jc w:val="both"/>
        <w:rPr>
          <w:i/>
          <w:sz w:val="18"/>
          <w:szCs w:val="18"/>
          <w:lang w:val="uk-UA"/>
        </w:rPr>
      </w:pPr>
      <w:r w:rsidRPr="00F33850">
        <w:rPr>
          <w:i/>
          <w:sz w:val="18"/>
          <w:szCs w:val="18"/>
          <w:lang w:val="uk-UA"/>
        </w:rPr>
        <w:t>При цьому кінцевим бенефіціарним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F33850" w:rsidRDefault="00091FD9" w:rsidP="005B5AD5">
      <w:pPr>
        <w:rPr>
          <w:sz w:val="16"/>
          <w:szCs w:val="16"/>
          <w:lang w:val="uk-UA"/>
        </w:rPr>
      </w:pPr>
    </w:p>
    <w:p w:rsidR="00091FD9" w:rsidRPr="00F33850" w:rsidRDefault="00B60674" w:rsidP="00091FD9">
      <w:pPr>
        <w:rPr>
          <w:sz w:val="18"/>
          <w:szCs w:val="18"/>
          <w:lang w:val="uk-UA"/>
        </w:rPr>
      </w:pPr>
      <w:r w:rsidRPr="00F33850">
        <w:rPr>
          <w:sz w:val="18"/>
          <w:szCs w:val="18"/>
          <w:lang w:val="uk-UA"/>
        </w:rPr>
        <w:t>1.</w:t>
      </w:r>
      <w:r w:rsidR="00025D3E" w:rsidRPr="00F33850">
        <w:rPr>
          <w:sz w:val="18"/>
          <w:szCs w:val="18"/>
          <w:lang w:val="uk-UA"/>
        </w:rPr>
        <w:t>11</w:t>
      </w:r>
      <w:r w:rsidR="00091FD9" w:rsidRPr="00F33850">
        <w:rPr>
          <w:sz w:val="18"/>
          <w:szCs w:val="18"/>
          <w:lang w:val="uk-UA"/>
        </w:rPr>
        <w:t xml:space="preserve">. </w:t>
      </w:r>
      <w:r w:rsidR="005B5AD5" w:rsidRPr="00F33850">
        <w:rPr>
          <w:sz w:val="18"/>
          <w:szCs w:val="18"/>
          <w:lang w:val="uk-UA"/>
        </w:rPr>
        <w:t>Відношення  до публічних діячів</w:t>
      </w:r>
      <w:r w:rsidR="00B411F6" w:rsidRPr="00F33850">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720"/>
              <w:rPr>
                <w:sz w:val="18"/>
                <w:szCs w:val="18"/>
                <w:lang w:val="uk-UA"/>
              </w:rPr>
            </w:pPr>
            <w:r>
              <w:rPr>
                <w:sz w:val="18"/>
                <w:szCs w:val="18"/>
                <w:lang w:val="uk-UA"/>
              </w:rPr>
              <w:t>-------не не має відношення</w:t>
            </w:r>
          </w:p>
        </w:tc>
      </w:tr>
    </w:tbl>
    <w:p w:rsidR="00613807" w:rsidRPr="00F33850" w:rsidRDefault="00B411F6" w:rsidP="00613807">
      <w:pPr>
        <w:rPr>
          <w:i/>
          <w:sz w:val="18"/>
          <w:szCs w:val="18"/>
          <w:lang w:val="uk-UA"/>
        </w:rPr>
      </w:pPr>
      <w:r w:rsidRPr="00F33850">
        <w:rPr>
          <w:sz w:val="18"/>
          <w:szCs w:val="18"/>
          <w:lang w:val="uk-UA"/>
        </w:rPr>
        <w:lastRenderedPageBreak/>
        <w:t xml:space="preserve"> **</w:t>
      </w:r>
      <w:r w:rsidR="005B5AD5" w:rsidRPr="00F33850">
        <w:rPr>
          <w:b/>
          <w:i/>
          <w:sz w:val="18"/>
          <w:szCs w:val="18"/>
          <w:lang w:val="uk-UA"/>
        </w:rPr>
        <w:t>Національні публічні діячі</w:t>
      </w:r>
      <w:r w:rsidR="005B5AD5" w:rsidRPr="00F33850">
        <w:rPr>
          <w:sz w:val="18"/>
          <w:szCs w:val="18"/>
          <w:lang w:val="uk-UA"/>
        </w:rPr>
        <w:t xml:space="preserve"> - </w:t>
      </w:r>
      <w:r w:rsidR="00613807" w:rsidRPr="00F33850">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F33850" w:rsidRDefault="00613807" w:rsidP="005B5AD5">
      <w:pPr>
        <w:jc w:val="both"/>
        <w:rPr>
          <w:rFonts w:ascii="Cambria" w:hAnsi="Cambria"/>
          <w:i/>
          <w:sz w:val="18"/>
          <w:szCs w:val="18"/>
          <w:lang w:val="uk-UA"/>
        </w:rPr>
      </w:pPr>
      <w:r w:rsidRPr="00F33850">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F33850" w:rsidRDefault="005B5AD5" w:rsidP="005B5AD5">
      <w:pPr>
        <w:jc w:val="both"/>
        <w:rPr>
          <w:i/>
          <w:sz w:val="18"/>
          <w:szCs w:val="18"/>
          <w:lang w:val="uk-UA"/>
        </w:rPr>
      </w:pPr>
      <w:r w:rsidRPr="00F33850">
        <w:rPr>
          <w:b/>
          <w:i/>
          <w:sz w:val="18"/>
          <w:szCs w:val="18"/>
          <w:lang w:val="uk-UA"/>
        </w:rPr>
        <w:t>Іноземні публічні діячі</w:t>
      </w:r>
      <w:r w:rsidRPr="00F33850">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F33850" w:rsidRDefault="005B5AD5" w:rsidP="005B5AD5">
      <w:pPr>
        <w:jc w:val="both"/>
        <w:rPr>
          <w:i/>
          <w:sz w:val="18"/>
          <w:szCs w:val="18"/>
          <w:lang w:val="uk-UA"/>
        </w:rPr>
      </w:pPr>
      <w:r w:rsidRPr="00F33850">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F33850" w:rsidRDefault="005B5AD5" w:rsidP="005B5AD5">
      <w:pPr>
        <w:jc w:val="both"/>
        <w:rPr>
          <w:i/>
          <w:sz w:val="18"/>
          <w:szCs w:val="18"/>
          <w:lang w:val="uk-UA"/>
        </w:rPr>
      </w:pPr>
      <w:r w:rsidRPr="00F33850">
        <w:rPr>
          <w:b/>
          <w:i/>
          <w:sz w:val="18"/>
          <w:szCs w:val="18"/>
          <w:lang w:val="uk-UA"/>
        </w:rPr>
        <w:t>Діячі, що виконують політичні функції в міжнародних організаціях</w:t>
      </w:r>
      <w:r w:rsidRPr="00F33850">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F33850" w:rsidRDefault="005B5AD5" w:rsidP="005B5AD5">
      <w:pPr>
        <w:ind w:hanging="720"/>
        <w:rPr>
          <w:i/>
          <w:sz w:val="18"/>
          <w:szCs w:val="18"/>
          <w:lang w:val="uk-UA"/>
        </w:rPr>
      </w:pPr>
      <w:r w:rsidRPr="00F33850">
        <w:rPr>
          <w:b/>
          <w:i/>
          <w:sz w:val="18"/>
          <w:szCs w:val="18"/>
          <w:lang w:val="uk-UA"/>
        </w:rPr>
        <w:t xml:space="preserve">                 Пов’язаними особами</w:t>
      </w:r>
      <w:r w:rsidRPr="00F33850">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бенефіціарними власниками (контролерами) яких є такі діячі чи іх члени сім’ї або особи, з якими діячі мають ділові або особисті зв’язки)</w:t>
      </w:r>
    </w:p>
    <w:p w:rsidR="00091FD9" w:rsidRPr="00F33850" w:rsidRDefault="00B411F6" w:rsidP="00091FD9">
      <w:pPr>
        <w:ind w:hanging="720"/>
        <w:rPr>
          <w:sz w:val="18"/>
          <w:szCs w:val="18"/>
          <w:lang w:val="uk-UA"/>
        </w:rPr>
      </w:pPr>
      <w:r w:rsidRPr="00F33850">
        <w:rPr>
          <w:sz w:val="18"/>
          <w:szCs w:val="18"/>
          <w:lang w:val="uk-UA"/>
        </w:rPr>
        <w:t xml:space="preserve">               </w:t>
      </w:r>
      <w:r w:rsidR="00B60674" w:rsidRPr="00F33850">
        <w:rPr>
          <w:sz w:val="18"/>
          <w:szCs w:val="18"/>
          <w:lang w:val="uk-UA"/>
        </w:rPr>
        <w:t>1.</w:t>
      </w:r>
      <w:r w:rsidRPr="00F33850">
        <w:rPr>
          <w:sz w:val="18"/>
          <w:szCs w:val="18"/>
          <w:lang w:val="uk-UA"/>
        </w:rPr>
        <w:t xml:space="preserve"> </w:t>
      </w:r>
      <w:r w:rsidR="00E11058" w:rsidRPr="00F33850">
        <w:rPr>
          <w:sz w:val="18"/>
          <w:szCs w:val="18"/>
          <w:lang w:val="uk-UA"/>
        </w:rPr>
        <w:t>12.</w:t>
      </w:r>
      <w:r w:rsidR="00091FD9" w:rsidRPr="00F33850">
        <w:rPr>
          <w:sz w:val="18"/>
          <w:szCs w:val="18"/>
          <w:lang w:val="uk-UA"/>
        </w:rPr>
        <w:t xml:space="preserve"> </w:t>
      </w:r>
      <w:r w:rsidR="005B5AD5" w:rsidRPr="00F33850">
        <w:rPr>
          <w:sz w:val="18"/>
          <w:szCs w:val="18"/>
          <w:lang w:val="uk-UA"/>
        </w:rPr>
        <w:t>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13.</w:t>
      </w:r>
      <w:r w:rsidR="00091FD9" w:rsidRPr="00F33850">
        <w:rPr>
          <w:sz w:val="18"/>
          <w:szCs w:val="18"/>
          <w:lang w:val="uk-UA"/>
        </w:rPr>
        <w:t xml:space="preserve"> </w:t>
      </w:r>
      <w:r w:rsidR="005B5AD5" w:rsidRPr="00F33850">
        <w:rPr>
          <w:sz w:val="18"/>
          <w:szCs w:val="18"/>
          <w:lang w:val="uk-UA"/>
        </w:rPr>
        <w:t>Мета ділових відносин з суб'єктом первинного фінансового моніторингу (отримання пр</w:t>
      </w:r>
      <w:r w:rsidR="00E11058" w:rsidRPr="00F33850">
        <w:rPr>
          <w:sz w:val="18"/>
          <w:szCs w:val="18"/>
          <w:lang w:val="uk-UA"/>
        </w:rPr>
        <w:t>ибутку від операцій з товарними</w:t>
      </w:r>
      <w:r w:rsidR="005B5AD5" w:rsidRPr="00F33850">
        <w:rPr>
          <w:sz w:val="18"/>
          <w:szCs w:val="18"/>
          <w:lang w:val="uk-UA"/>
        </w:rPr>
        <w:t xml:space="preserve">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Придбання товарних цінностей</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14.</w:t>
      </w:r>
      <w:r w:rsidR="00091FD9" w:rsidRPr="00F33850">
        <w:rPr>
          <w:sz w:val="18"/>
          <w:szCs w:val="18"/>
          <w:lang w:val="uk-UA"/>
        </w:rPr>
        <w:t xml:space="preserve"> </w:t>
      </w:r>
      <w:r w:rsidR="005B5AD5" w:rsidRPr="00F33850">
        <w:rPr>
          <w:sz w:val="18"/>
          <w:szCs w:val="18"/>
          <w:lang w:val="uk-UA"/>
        </w:rPr>
        <w:t xml:space="preserve">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Одноразова операція</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25D3E">
      <w:pPr>
        <w:jc w:val="both"/>
        <w:rPr>
          <w:sz w:val="18"/>
          <w:szCs w:val="18"/>
          <w:lang w:val="uk-UA"/>
        </w:rPr>
      </w:pPr>
      <w:r w:rsidRPr="00F33850">
        <w:rPr>
          <w:sz w:val="18"/>
          <w:szCs w:val="18"/>
          <w:lang w:val="uk-UA"/>
        </w:rPr>
        <w:t>1.</w:t>
      </w:r>
      <w:r w:rsidR="00091FD9" w:rsidRPr="00F33850">
        <w:rPr>
          <w:sz w:val="18"/>
          <w:szCs w:val="18"/>
          <w:lang w:val="uk-UA"/>
        </w:rPr>
        <w:t>1</w:t>
      </w:r>
      <w:r w:rsidR="00025D3E" w:rsidRPr="00F33850">
        <w:rPr>
          <w:sz w:val="18"/>
          <w:szCs w:val="18"/>
          <w:lang w:val="uk-UA"/>
        </w:rPr>
        <w:t>5</w:t>
      </w:r>
      <w:r w:rsidR="00091FD9" w:rsidRPr="00F33850">
        <w:rPr>
          <w:sz w:val="18"/>
          <w:szCs w:val="18"/>
          <w:lang w:val="uk-UA"/>
        </w:rPr>
        <w:t>.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176"/>
              <w:rPr>
                <w:sz w:val="18"/>
                <w:szCs w:val="18"/>
                <w:lang w:val="uk-UA"/>
              </w:rPr>
            </w:pPr>
            <w:r>
              <w:rPr>
                <w:sz w:val="18"/>
                <w:szCs w:val="18"/>
                <w:lang w:val="uk-UA"/>
              </w:rPr>
              <w:t>----------------------------------</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025D3E" w:rsidP="00091FD9">
      <w:pPr>
        <w:pStyle w:val="a6"/>
        <w:ind w:firstLine="0"/>
        <w:rPr>
          <w:rFonts w:ascii="Times New Roman" w:hAnsi="Times New Roman"/>
          <w:b/>
          <w:sz w:val="18"/>
          <w:szCs w:val="18"/>
        </w:rPr>
      </w:pPr>
      <w:r w:rsidRPr="00F33850">
        <w:rPr>
          <w:rFonts w:ascii="Times New Roman" w:hAnsi="Times New Roman"/>
          <w:b/>
          <w:sz w:val="18"/>
          <w:szCs w:val="18"/>
        </w:rPr>
        <w:t xml:space="preserve">2. </w:t>
      </w:r>
      <w:r w:rsidR="00091FD9" w:rsidRPr="00F33850">
        <w:rPr>
          <w:rFonts w:ascii="Times New Roman" w:hAnsi="Times New Roman"/>
          <w:b/>
          <w:sz w:val="18"/>
          <w:szCs w:val="18"/>
        </w:rPr>
        <w:t xml:space="preserve"> Фінансовий стан</w:t>
      </w:r>
    </w:p>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 xml:space="preserve">2.1. </w:t>
      </w:r>
      <w:r w:rsidR="00091FD9" w:rsidRPr="00F33850">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F33850">
        <w:rPr>
          <w:rFonts w:ascii="Times New Roman" w:hAnsi="Times New Roman"/>
          <w:color w:val="000000"/>
          <w:sz w:val="18"/>
          <w:szCs w:val="18"/>
        </w:rPr>
        <w:t>**</w:t>
      </w:r>
      <w:r w:rsidR="00091FD9" w:rsidRPr="00F33850">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F33850">
        <w:rPr>
          <w:rFonts w:ascii="Times New Roman" w:hAnsi="Times New Roman"/>
          <w:sz w:val="18"/>
          <w:szCs w:val="18"/>
          <w:u w:val="single"/>
        </w:rPr>
        <w:t>(якщо так, вказати «додаю»,</w:t>
      </w:r>
      <w:r w:rsidR="00E11058" w:rsidRPr="00F33850">
        <w:rPr>
          <w:rFonts w:ascii="Times New Roman" w:hAnsi="Times New Roman"/>
          <w:bCs/>
          <w:iCs/>
          <w:sz w:val="18"/>
          <w:szCs w:val="18"/>
        </w:rPr>
        <w:t xml:space="preserve"> </w:t>
      </w:r>
      <w:r w:rsidR="00E11058" w:rsidRPr="00F33850">
        <w:rPr>
          <w:rFonts w:ascii="Times New Roman" w:hAnsi="Times New Roman"/>
          <w:bCs/>
          <w:i/>
          <w:iCs/>
          <w:sz w:val="18"/>
          <w:szCs w:val="18"/>
        </w:rPr>
        <w:t xml:space="preserve">і </w:t>
      </w:r>
      <w:r w:rsidR="00E11058" w:rsidRPr="00F33850">
        <w:rPr>
          <w:rFonts w:ascii="Times New Roman" w:hAnsi="Times New Roman"/>
          <w:bCs/>
          <w:i/>
          <w:iCs/>
          <w:sz w:val="18"/>
          <w:szCs w:val="18"/>
          <w:u w:val="single"/>
        </w:rPr>
        <w:t>вказати назву сайт</w:t>
      </w:r>
      <w:r w:rsidR="0071273A">
        <w:rPr>
          <w:rFonts w:ascii="Times New Roman" w:hAnsi="Times New Roman"/>
          <w:bCs/>
          <w:i/>
          <w:iCs/>
          <w:sz w:val="18"/>
          <w:szCs w:val="18"/>
          <w:u w:val="single"/>
        </w:rPr>
        <w:t>у</w:t>
      </w:r>
      <w:r w:rsidR="00E11058" w:rsidRPr="00F33850">
        <w:rPr>
          <w:rFonts w:ascii="Times New Roman" w:hAnsi="Times New Roman"/>
          <w:bCs/>
          <w:i/>
          <w:iCs/>
          <w:sz w:val="18"/>
          <w:szCs w:val="18"/>
          <w:u w:val="single"/>
        </w:rPr>
        <w:t>, де розміщена інформація</w:t>
      </w:r>
      <w:r w:rsidR="00E11058" w:rsidRPr="00F33850">
        <w:rPr>
          <w:rFonts w:ascii="Times New Roman" w:hAnsi="Times New Roman"/>
          <w:bCs/>
          <w:iCs/>
          <w:sz w:val="18"/>
          <w:szCs w:val="18"/>
          <w:u w:val="single"/>
        </w:rPr>
        <w:t xml:space="preserve">, </w:t>
      </w:r>
      <w:r w:rsidR="00091FD9" w:rsidRPr="00F33850">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F33850" w:rsidTr="00866DB1">
        <w:tc>
          <w:tcPr>
            <w:tcW w:w="10260" w:type="dxa"/>
            <w:tcBorders>
              <w:top w:val="nil"/>
              <w:left w:val="nil"/>
              <w:bottom w:val="single" w:sz="4" w:space="0" w:color="auto"/>
              <w:right w:val="nil"/>
            </w:tcBorders>
            <w:shd w:val="clear" w:color="auto" w:fill="FFFF00"/>
          </w:tcPr>
          <w:p w:rsidR="00091FD9" w:rsidRPr="00F33850" w:rsidRDefault="00091FD9" w:rsidP="00BE74E2">
            <w:pPr>
              <w:pStyle w:val="a6"/>
              <w:ind w:left="176" w:firstLine="0"/>
              <w:rPr>
                <w:rFonts w:ascii="Times New Roman" w:hAnsi="Times New Roman"/>
                <w:sz w:val="18"/>
                <w:szCs w:val="18"/>
              </w:rPr>
            </w:pPr>
          </w:p>
        </w:tc>
      </w:tr>
    </w:tbl>
    <w:p w:rsidR="00091FD9" w:rsidRPr="00F33850"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F33850" w:rsidTr="00866DB1">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r w:rsidRPr="00F33850">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FFFF00"/>
            <w:vAlign w:val="bottom"/>
          </w:tcPr>
          <w:p w:rsidR="00091FD9" w:rsidRPr="00F33850" w:rsidRDefault="00091FD9" w:rsidP="00091FD9">
            <w:pPr>
              <w:jc w:val="both"/>
              <w:rPr>
                <w:noProof/>
                <w:sz w:val="18"/>
                <w:szCs w:val="18"/>
                <w:lang w:val="uk-UA"/>
              </w:rPr>
            </w:pPr>
            <w:r w:rsidRPr="00F33850">
              <w:rPr>
                <w:noProof/>
                <w:sz w:val="18"/>
                <w:szCs w:val="18"/>
                <w:lang w:val="uk-UA"/>
              </w:rPr>
              <w:t>Сума, тис.грн.</w:t>
            </w:r>
          </w:p>
        </w:tc>
      </w:tr>
      <w:tr w:rsidR="00091FD9" w:rsidRPr="00F33850" w:rsidTr="00866DB1">
        <w:trPr>
          <w:trHeight w:val="50"/>
        </w:trPr>
        <w:tc>
          <w:tcPr>
            <w:tcW w:w="5230" w:type="dxa"/>
            <w:tcBorders>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snapToGrid w:val="0"/>
                <w:sz w:val="18"/>
                <w:szCs w:val="18"/>
                <w:lang w:val="uk-UA"/>
              </w:rPr>
            </w:pPr>
            <w:r w:rsidRPr="00F33850">
              <w:rPr>
                <w:snapToGrid w:val="0"/>
                <w:sz w:val="18"/>
                <w:szCs w:val="18"/>
                <w:lang w:val="uk-UA"/>
              </w:rPr>
              <w:t>Орієнтований розмір надходжень  коштів та інших цінностей</w:t>
            </w:r>
          </w:p>
          <w:p w:rsidR="00091FD9" w:rsidRPr="00F33850" w:rsidRDefault="003E4578" w:rsidP="00091FD9">
            <w:pPr>
              <w:jc w:val="both"/>
              <w:rPr>
                <w:noProof/>
                <w:sz w:val="18"/>
                <w:szCs w:val="18"/>
                <w:lang w:val="uk-UA"/>
              </w:rPr>
            </w:pPr>
            <w:r w:rsidRPr="00F33850">
              <w:rPr>
                <w:snapToGrid w:val="0"/>
                <w:sz w:val="18"/>
                <w:szCs w:val="18"/>
                <w:lang w:val="uk-UA"/>
              </w:rPr>
              <w:t xml:space="preserve"> </w:t>
            </w:r>
            <w:r w:rsidRPr="00F33850">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bl>
    <w:p w:rsidR="00091FD9" w:rsidRPr="00F33850" w:rsidRDefault="00091FD9" w:rsidP="003E4578">
      <w:pPr>
        <w:pStyle w:val="a6"/>
        <w:ind w:firstLine="0"/>
        <w:rPr>
          <w:rFonts w:ascii="Times New Roman" w:hAnsi="Times New Roman"/>
          <w:sz w:val="18"/>
          <w:szCs w:val="18"/>
        </w:rPr>
      </w:pPr>
    </w:p>
    <w:p w:rsidR="00091FD9" w:rsidRPr="00F33850" w:rsidRDefault="00091FD9" w:rsidP="00091FD9">
      <w:pPr>
        <w:pStyle w:val="a6"/>
        <w:rPr>
          <w:rFonts w:ascii="Times New Roman" w:hAnsi="Times New Roman"/>
          <w:i/>
          <w:sz w:val="18"/>
          <w:szCs w:val="18"/>
        </w:rPr>
      </w:pPr>
      <w:r w:rsidRPr="00F33850">
        <w:rPr>
          <w:rFonts w:ascii="Times New Roman" w:hAnsi="Times New Roman"/>
          <w:i/>
          <w:sz w:val="18"/>
          <w:szCs w:val="18"/>
        </w:rPr>
        <w:t>*</w:t>
      </w:r>
      <w:r w:rsidRPr="00F33850">
        <w:rPr>
          <w:rFonts w:ascii="Times New Roman" w:hAnsi="Times New Roman"/>
          <w:i/>
          <w:color w:val="000000"/>
          <w:sz w:val="18"/>
          <w:szCs w:val="18"/>
        </w:rPr>
        <w:t>**</w:t>
      </w:r>
      <w:r w:rsidRPr="00F33850">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F33850" w:rsidRDefault="00B60674" w:rsidP="00091FD9">
      <w:pPr>
        <w:pStyle w:val="a6"/>
        <w:rPr>
          <w:rFonts w:ascii="Times New Roman" w:hAnsi="Times New Roman"/>
          <w:i/>
          <w:sz w:val="18"/>
          <w:szCs w:val="18"/>
        </w:rPr>
      </w:pPr>
    </w:p>
    <w:p w:rsidR="00B60674" w:rsidRPr="00F33850" w:rsidRDefault="00B60674" w:rsidP="00B60674">
      <w:pPr>
        <w:pStyle w:val="a6"/>
        <w:ind w:firstLine="0"/>
        <w:rPr>
          <w:rFonts w:ascii="Times New Roman" w:hAnsi="Times New Roman"/>
          <w:color w:val="000000"/>
          <w:sz w:val="18"/>
          <w:szCs w:val="18"/>
        </w:rPr>
      </w:pPr>
      <w:r w:rsidRPr="00F33850">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F33850"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F33850" w:rsidTr="00866DB1">
        <w:tc>
          <w:tcPr>
            <w:tcW w:w="3515" w:type="dxa"/>
            <w:shd w:val="clear" w:color="auto" w:fill="FFFF00"/>
          </w:tcPr>
          <w:p w:rsidR="00B60674" w:rsidRPr="00F33850" w:rsidRDefault="00B60674" w:rsidP="00B60674">
            <w:pPr>
              <w:numPr>
                <w:ilvl w:val="0"/>
                <w:numId w:val="2"/>
              </w:numPr>
              <w:spacing w:line="0" w:lineRule="atLeast"/>
              <w:jc w:val="both"/>
              <w:rPr>
                <w:sz w:val="18"/>
                <w:szCs w:val="18"/>
                <w:lang w:val="uk-UA"/>
              </w:rPr>
            </w:pPr>
            <w:r w:rsidRPr="00F33850">
              <w:rPr>
                <w:color w:val="000000"/>
                <w:sz w:val="18"/>
                <w:szCs w:val="18"/>
                <w:lang w:val="uk-UA"/>
              </w:rPr>
              <w:lastRenderedPageBreak/>
              <w:t>Від здійснення статутної (підприємницької) діяльності</w:t>
            </w:r>
            <w:r w:rsidRPr="00F33850">
              <w:rPr>
                <w:sz w:val="18"/>
                <w:szCs w:val="18"/>
                <w:lang w:val="uk-UA"/>
              </w:rPr>
              <w:t xml:space="preserve"> </w:t>
            </w:r>
          </w:p>
          <w:p w:rsidR="00B60674" w:rsidRPr="00F33850" w:rsidRDefault="00B60674" w:rsidP="00B60674">
            <w:pPr>
              <w:numPr>
                <w:ilvl w:val="0"/>
                <w:numId w:val="2"/>
              </w:numPr>
              <w:spacing w:line="0" w:lineRule="atLeast"/>
              <w:jc w:val="both"/>
              <w:rPr>
                <w:sz w:val="18"/>
                <w:szCs w:val="18"/>
                <w:lang w:val="uk-UA"/>
              </w:rPr>
            </w:pPr>
            <w:r w:rsidRPr="00F33850">
              <w:rPr>
                <w:sz w:val="18"/>
                <w:szCs w:val="18"/>
                <w:lang w:val="uk-UA"/>
              </w:rPr>
              <w:t xml:space="preserve">Проценти від </w:t>
            </w:r>
            <w:r w:rsidRPr="00F33850">
              <w:rPr>
                <w:color w:val="000000"/>
                <w:sz w:val="18"/>
                <w:szCs w:val="18"/>
                <w:lang w:val="uk-UA"/>
              </w:rPr>
              <w:t>депозиту</w:t>
            </w:r>
          </w:p>
          <w:p w:rsidR="00B60674" w:rsidRPr="00F33850" w:rsidRDefault="00B60674" w:rsidP="00B60674">
            <w:pPr>
              <w:spacing w:line="0" w:lineRule="atLeast"/>
              <w:ind w:left="360"/>
              <w:jc w:val="both"/>
              <w:rPr>
                <w:sz w:val="18"/>
                <w:szCs w:val="18"/>
                <w:lang w:val="uk-UA"/>
              </w:rPr>
            </w:pPr>
          </w:p>
        </w:tc>
        <w:tc>
          <w:tcPr>
            <w:tcW w:w="6697" w:type="dxa"/>
            <w:shd w:val="clear" w:color="auto" w:fill="FFFF00"/>
          </w:tcPr>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Фінансова допомога</w:t>
            </w:r>
            <w:r w:rsidRPr="00F33850">
              <w:rPr>
                <w:sz w:val="18"/>
                <w:szCs w:val="18"/>
                <w:lang w:val="uk-UA"/>
              </w:rPr>
              <w:t xml:space="preserve"> </w:t>
            </w:r>
          </w:p>
          <w:p w:rsidR="00B60674" w:rsidRPr="00F33850" w:rsidRDefault="00B60674" w:rsidP="00B60674">
            <w:pPr>
              <w:spacing w:line="0" w:lineRule="atLeast"/>
              <w:jc w:val="both"/>
              <w:rPr>
                <w:sz w:val="18"/>
                <w:szCs w:val="18"/>
                <w:lang w:val="uk-UA"/>
              </w:rPr>
            </w:pPr>
          </w:p>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Від реалізації майна</w:t>
            </w:r>
          </w:p>
          <w:p w:rsidR="00B60674" w:rsidRPr="00F33850" w:rsidRDefault="00B60674" w:rsidP="00B60674">
            <w:pPr>
              <w:numPr>
                <w:ilvl w:val="0"/>
                <w:numId w:val="3"/>
              </w:numPr>
              <w:spacing w:line="0" w:lineRule="atLeast"/>
              <w:jc w:val="both"/>
              <w:rPr>
                <w:sz w:val="18"/>
                <w:szCs w:val="18"/>
                <w:lang w:val="uk-UA"/>
              </w:rPr>
            </w:pPr>
            <w:r w:rsidRPr="00F33850">
              <w:rPr>
                <w:sz w:val="18"/>
                <w:szCs w:val="18"/>
                <w:lang w:val="uk-UA"/>
              </w:rPr>
              <w:t>Інше  (зазначити) _________________________________</w:t>
            </w:r>
          </w:p>
        </w:tc>
      </w:tr>
    </w:tbl>
    <w:p w:rsidR="00091FD9" w:rsidRPr="00F33850" w:rsidRDefault="00091FD9" w:rsidP="003E4578">
      <w:pPr>
        <w:jc w:val="both"/>
        <w:rPr>
          <w:sz w:val="18"/>
          <w:szCs w:val="18"/>
          <w:lang w:val="uk-UA"/>
        </w:rPr>
      </w:pPr>
    </w:p>
    <w:p w:rsidR="00091FD9" w:rsidRPr="00F33850" w:rsidRDefault="00091FD9" w:rsidP="00091FD9">
      <w:pPr>
        <w:numPr>
          <w:ilvl w:val="0"/>
          <w:numId w:val="1"/>
        </w:numPr>
        <w:jc w:val="both"/>
        <w:rPr>
          <w:sz w:val="18"/>
          <w:szCs w:val="18"/>
          <w:lang w:val="uk-UA"/>
        </w:rPr>
      </w:pPr>
      <w:r w:rsidRPr="00F33850">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F33850" w:rsidRDefault="00091FD9" w:rsidP="00091FD9">
      <w:pPr>
        <w:ind w:firstLine="540"/>
        <w:jc w:val="both"/>
        <w:rPr>
          <w:lang w:val="uk-UA"/>
        </w:rPr>
      </w:pPr>
    </w:p>
    <w:p w:rsidR="00091FD9" w:rsidRPr="00F33850" w:rsidRDefault="00091FD9" w:rsidP="00091FD9">
      <w:pPr>
        <w:ind w:firstLine="426"/>
        <w:jc w:val="both"/>
        <w:rPr>
          <w:b/>
          <w:sz w:val="18"/>
          <w:szCs w:val="18"/>
          <w:lang w:val="uk-UA"/>
        </w:rPr>
      </w:pPr>
      <w:r w:rsidRPr="00F33850">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F33850" w:rsidRDefault="00091FD9" w:rsidP="00091FD9">
      <w:pPr>
        <w:ind w:firstLine="426"/>
        <w:jc w:val="both"/>
        <w:rPr>
          <w:b/>
          <w:sz w:val="18"/>
          <w:szCs w:val="18"/>
          <w:lang w:val="uk-UA"/>
        </w:rPr>
      </w:pPr>
      <w:r w:rsidRPr="00F33850">
        <w:rPr>
          <w:b/>
          <w:sz w:val="18"/>
          <w:szCs w:val="18"/>
          <w:lang w:val="uk-UA"/>
        </w:rPr>
        <w:t>Вказані відомості є повними, дійсними і правдивими</w:t>
      </w:r>
    </w:p>
    <w:p w:rsidR="00091FD9" w:rsidRPr="00F33850" w:rsidRDefault="00091FD9" w:rsidP="00091FD9">
      <w:pPr>
        <w:pStyle w:val="a9"/>
        <w:ind w:firstLine="426"/>
        <w:jc w:val="both"/>
        <w:rPr>
          <w:b/>
          <w:color w:val="000000"/>
          <w:sz w:val="18"/>
          <w:szCs w:val="18"/>
          <w:lang w:val="uk-UA"/>
        </w:rPr>
      </w:pPr>
      <w:r w:rsidRPr="00F33850">
        <w:rPr>
          <w:b/>
          <w:color w:val="000000"/>
          <w:sz w:val="18"/>
          <w:szCs w:val="18"/>
          <w:lang w:val="uk-UA"/>
        </w:rPr>
        <w:t>В разі зміни будь-яких ідентифікаційних даних зобов‘язуюсь повідомити про такі.</w:t>
      </w:r>
    </w:p>
    <w:p w:rsidR="00091FD9" w:rsidRPr="00F33850" w:rsidRDefault="00091FD9" w:rsidP="00091FD9">
      <w:pPr>
        <w:spacing w:after="60"/>
        <w:ind w:firstLine="426"/>
        <w:jc w:val="both"/>
        <w:rPr>
          <w:sz w:val="18"/>
          <w:szCs w:val="18"/>
          <w:lang w:val="uk-UA"/>
        </w:rPr>
      </w:pPr>
      <w:r w:rsidRPr="00F33850">
        <w:rPr>
          <w:sz w:val="18"/>
          <w:szCs w:val="18"/>
          <w:lang w:val="uk-UA"/>
        </w:rPr>
        <w:t>«Збір та використання персональних даних здійснюється для конкретних і законних цілей у порядку, встановленому законодавством. Повідомлення про включення персональних даних до Бази персональних даних «Контрагент/Клієнт» ТОВАРНОЇ БІРЖІ «ПЕРСПЕКТИВА-КОММОДІТІ», про права та мету обробки персональних даних розміщене на Інтернет-сайті за адресою:   http://e-commodity.fbp.com.ua/ у відкритому доступі.»</w:t>
      </w:r>
    </w:p>
    <w:p w:rsidR="00091FD9" w:rsidRPr="00F33850" w:rsidRDefault="00091FD9" w:rsidP="00091FD9">
      <w:pPr>
        <w:ind w:left="-720"/>
        <w:jc w:val="both"/>
        <w:rPr>
          <w:sz w:val="18"/>
          <w:szCs w:val="18"/>
          <w:lang w:val="uk-UA"/>
        </w:rPr>
      </w:pPr>
    </w:p>
    <w:p w:rsidR="00866DB1" w:rsidRPr="00A85556" w:rsidRDefault="00866DB1" w:rsidP="00866DB1">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Pr>
          <w:sz w:val="18"/>
          <w:szCs w:val="18"/>
          <w:lang w:val="uk-UA"/>
        </w:rPr>
        <w:t xml:space="preserve">         </w:t>
      </w:r>
      <w:r w:rsidRPr="00A85556">
        <w:rPr>
          <w:sz w:val="18"/>
          <w:szCs w:val="18"/>
          <w:highlight w:val="yellow"/>
          <w:lang w:val="uk-UA"/>
        </w:rPr>
        <w:t>/___________</w:t>
      </w:r>
    </w:p>
    <w:p w:rsidR="00866DB1" w:rsidRPr="00A85556" w:rsidRDefault="00866DB1" w:rsidP="00866DB1">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866DB1" w:rsidRPr="00A85556" w:rsidRDefault="00866DB1" w:rsidP="00866DB1">
      <w:pPr>
        <w:pStyle w:val="a7"/>
        <w:ind w:left="-720"/>
        <w:rPr>
          <w:sz w:val="18"/>
          <w:szCs w:val="18"/>
        </w:rPr>
      </w:pPr>
    </w:p>
    <w:p w:rsidR="00866DB1" w:rsidRPr="00A85556" w:rsidRDefault="00866DB1" w:rsidP="00866DB1">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арк.</w:t>
      </w:r>
    </w:p>
    <w:p w:rsidR="00091FD9" w:rsidRPr="00F33850" w:rsidRDefault="00091FD9" w:rsidP="00866DB1">
      <w:pPr>
        <w:pStyle w:val="a7"/>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фінансового стану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Стабільний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Нестабільний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репутації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Задовільна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Незадовільна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ризику клієнта</w:t>
            </w:r>
          </w:p>
        </w:tc>
        <w:tc>
          <w:tcPr>
            <w:tcW w:w="1692"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Низький                   </w:t>
            </w:r>
            <w:r w:rsidRPr="00F33850">
              <w:rPr>
                <w:rFonts w:ascii="Cambria" w:eastAsia="Calibri" w:hAnsi="Cambria"/>
                <w:b w:val="0"/>
                <w:sz w:val="20"/>
                <w:lang w:eastAsia="en-US"/>
              </w:rPr>
              <w:sym w:font="Wingdings" w:char="F0A8"/>
            </w:r>
          </w:p>
        </w:tc>
        <w:tc>
          <w:tcPr>
            <w:tcW w:w="1867"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Середній                        </w:t>
            </w:r>
            <w:r w:rsidRPr="00F33850">
              <w:rPr>
                <w:rFonts w:ascii="Cambria" w:eastAsia="Calibri" w:hAnsi="Cambria"/>
                <w:b w:val="0"/>
                <w:sz w:val="20"/>
                <w:lang w:eastAsia="en-US"/>
              </w:rPr>
              <w:sym w:font="Wingdings" w:char="F0A8"/>
            </w:r>
          </w:p>
        </w:tc>
        <w:tc>
          <w:tcPr>
            <w:tcW w:w="1503"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Високий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F33850" w:rsidRDefault="00091FD9" w:rsidP="00091FD9">
            <w:pPr>
              <w:pStyle w:val="a4"/>
              <w:jc w:val="left"/>
              <w:rPr>
                <w:rFonts w:ascii="Cambria" w:eastAsia="Calibri" w:hAnsi="Cambria"/>
                <w:b w:val="0"/>
                <w:sz w:val="20"/>
                <w:lang w:eastAsia="en-US"/>
              </w:rPr>
            </w:pPr>
          </w:p>
        </w:tc>
      </w:tr>
    </w:tbl>
    <w:p w:rsidR="00091FD9" w:rsidRPr="00F33850" w:rsidRDefault="00091FD9" w:rsidP="00091FD9">
      <w:pPr>
        <w:pStyle w:val="a4"/>
        <w:widowControl/>
        <w:autoSpaceDE/>
        <w:autoSpaceDN/>
        <w:adjustRightInd/>
        <w:ind w:right="-908"/>
        <w:jc w:val="left"/>
        <w:rPr>
          <w:rFonts w:ascii="Cambria" w:hAnsi="Cambria"/>
          <w:sz w:val="20"/>
        </w:rPr>
      </w:pPr>
      <w:r w:rsidRPr="00F33850">
        <w:rPr>
          <w:rFonts w:ascii="Cambria" w:hAnsi="Cambria"/>
          <w:snapToGrid w:val="0"/>
          <w:sz w:val="20"/>
        </w:rPr>
        <w:t xml:space="preserve"> Частина, що заповнюється відповідальним працівником Товарної біржі:</w:t>
      </w:r>
    </w:p>
    <w:p w:rsidR="00091FD9" w:rsidRPr="00F33850" w:rsidRDefault="00091FD9" w:rsidP="00091FD9">
      <w:pPr>
        <w:rPr>
          <w:rFonts w:ascii="Cambria" w:hAnsi="Cambria"/>
          <w:sz w:val="16"/>
          <w:szCs w:val="16"/>
          <w:lang w:val="uk-UA"/>
        </w:rPr>
      </w:pPr>
    </w:p>
    <w:p w:rsidR="00091FD9" w:rsidRPr="00F33850" w:rsidRDefault="00091FD9" w:rsidP="00091FD9">
      <w:pPr>
        <w:rPr>
          <w:rFonts w:ascii="Cambria" w:hAnsi="Cambria"/>
          <w:sz w:val="20"/>
          <w:szCs w:val="20"/>
          <w:lang w:val="uk-UA"/>
        </w:rPr>
      </w:pPr>
      <w:r w:rsidRPr="00F33850">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F33850"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71273A" w:rsidTr="0071273A">
        <w:tc>
          <w:tcPr>
            <w:tcW w:w="5185" w:type="dxa"/>
            <w:shd w:val="clear" w:color="auto" w:fill="auto"/>
          </w:tcPr>
          <w:p w:rsidR="00091FD9" w:rsidRPr="0071273A" w:rsidRDefault="00091FD9" w:rsidP="00091FD9">
            <w:pPr>
              <w:rPr>
                <w:rFonts w:ascii="Cambria" w:hAnsi="Cambria"/>
                <w:sz w:val="20"/>
                <w:szCs w:val="20"/>
                <w:lang w:val="uk-UA"/>
              </w:rPr>
            </w:pPr>
            <w:r w:rsidRPr="0071273A">
              <w:rPr>
                <w:rFonts w:ascii="Cambria" w:hAnsi="Cambria"/>
                <w:sz w:val="20"/>
                <w:szCs w:val="20"/>
                <w:lang w:val="uk-UA"/>
              </w:rPr>
              <w:t xml:space="preserve">Реквізити документу ( -ів)  осіб, які мають право представляти фізичну особу ( довіреністю, інше)   </w:t>
            </w:r>
          </w:p>
        </w:tc>
        <w:tc>
          <w:tcPr>
            <w:tcW w:w="5187" w:type="dxa"/>
            <w:shd w:val="clear" w:color="auto" w:fill="auto"/>
          </w:tcPr>
          <w:p w:rsidR="00091FD9" w:rsidRPr="0071273A" w:rsidRDefault="00091FD9" w:rsidP="00091FD9">
            <w:pPr>
              <w:rPr>
                <w:rFonts w:ascii="Cambria" w:hAnsi="Cambria"/>
                <w:sz w:val="20"/>
                <w:szCs w:val="20"/>
                <w:lang w:val="uk-UA"/>
              </w:rPr>
            </w:pPr>
          </w:p>
        </w:tc>
      </w:tr>
    </w:tbl>
    <w:p w:rsidR="00091FD9" w:rsidRPr="00F33850" w:rsidRDefault="00091FD9" w:rsidP="00091FD9">
      <w:pPr>
        <w:rPr>
          <w:rFonts w:ascii="Cambria" w:hAnsi="Cambria"/>
          <w:sz w:val="20"/>
          <w:szCs w:val="20"/>
          <w:lang w:val="uk-UA"/>
        </w:rPr>
      </w:pPr>
    </w:p>
    <w:p w:rsidR="00091FD9" w:rsidRPr="00F33850" w:rsidRDefault="00091FD9" w:rsidP="00091FD9">
      <w:pPr>
        <w:rPr>
          <w:rFonts w:ascii="Cambria" w:hAnsi="Cambria"/>
          <w:sz w:val="20"/>
          <w:szCs w:val="20"/>
          <w:lang w:val="uk-UA"/>
        </w:rPr>
      </w:pPr>
      <w:r w:rsidRPr="00F33850">
        <w:rPr>
          <w:rFonts w:ascii="Cambria" w:hAnsi="Cambria"/>
          <w:sz w:val="20"/>
          <w:szCs w:val="20"/>
          <w:lang w:val="uk-UA"/>
        </w:rPr>
        <w:t xml:space="preserve">                 ____________________________________                  ________________________                              ___________________</w:t>
      </w:r>
    </w:p>
    <w:p w:rsidR="006822AE" w:rsidRPr="00F33850" w:rsidRDefault="00091FD9" w:rsidP="00223259">
      <w:pPr>
        <w:pStyle w:val="a7"/>
      </w:pPr>
      <w:r w:rsidRPr="00F33850">
        <w:t xml:space="preserve">                 </w:t>
      </w:r>
      <w:r w:rsidRPr="00F33850">
        <w:tab/>
        <w:t xml:space="preserve">     П.І.Б.                                                    підпис</w:t>
      </w:r>
      <w:r w:rsidRPr="00F33850">
        <w:tab/>
        <w:t xml:space="preserve">                                           дата</w:t>
      </w:r>
    </w:p>
    <w:sectPr w:rsidR="006822AE" w:rsidRPr="00F33850" w:rsidSect="00F33850">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25D3E"/>
    <w:rsid w:val="00091FD9"/>
    <w:rsid w:val="000E4215"/>
    <w:rsid w:val="001D0432"/>
    <w:rsid w:val="00223259"/>
    <w:rsid w:val="00352294"/>
    <w:rsid w:val="003C6C4D"/>
    <w:rsid w:val="003E4578"/>
    <w:rsid w:val="00497C7C"/>
    <w:rsid w:val="005459D5"/>
    <w:rsid w:val="005B5AD5"/>
    <w:rsid w:val="005C0168"/>
    <w:rsid w:val="00613807"/>
    <w:rsid w:val="006822AE"/>
    <w:rsid w:val="0071273A"/>
    <w:rsid w:val="008524D2"/>
    <w:rsid w:val="00866DB1"/>
    <w:rsid w:val="00881219"/>
    <w:rsid w:val="00B411F6"/>
    <w:rsid w:val="00B60674"/>
    <w:rsid w:val="00BA3522"/>
    <w:rsid w:val="00BE74E2"/>
    <w:rsid w:val="00DF2989"/>
    <w:rsid w:val="00E11058"/>
    <w:rsid w:val="00EA1194"/>
    <w:rsid w:val="00F338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625482-2868-4FA0-A2A2-1434D4B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7514</Words>
  <Characters>4283</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2016-12-02T14:02:00Z</dcterms:modified>
</cp:coreProperties>
</file>