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72605">
      <w:pPr>
        <w:rPr>
          <w:rFonts w:hint="default" w:cstheme="minorBidi"/>
          <w:rtl w:val="0"/>
          <w:lang w:val="en-US" w:bidi="he-IL"/>
        </w:rPr>
      </w:pPr>
      <w:r>
        <w:rPr>
          <w:rFonts w:hint="cs" w:cstheme="minorBidi"/>
          <w:rtl/>
          <w:lang w:bidi="he-IL"/>
        </w:rPr>
        <w:t>הערות</w:t>
      </w:r>
      <w:r>
        <w:rPr>
          <w:rFonts w:hint="cs" w:cstheme="minorBidi"/>
          <w:rtl/>
          <w:lang w:val="en-US" w:bidi="he-IL"/>
        </w:rPr>
        <w:t xml:space="preserve"> לתנאי השימוש </w:t>
      </w:r>
      <w:r>
        <w:rPr>
          <w:rFonts w:hint="cs" w:cstheme="minorBidi"/>
          <w:rtl/>
          <w:lang w:val="en-US" w:bidi="he-IL"/>
        </w:rPr>
        <w:br w:type="textWrapping"/>
      </w:r>
      <w:r>
        <w:rPr>
          <w:rFonts w:hint="cs" w:cstheme="minorBidi"/>
          <w:rtl/>
          <w:lang w:val="en-US" w:bidi="he-IL"/>
        </w:rPr>
        <w:br w:type="textWrapping"/>
      </w:r>
      <w:r>
        <w:rPr>
          <w:rFonts w:hint="cs" w:cstheme="minorBidi"/>
          <w:rtl/>
          <w:lang w:val="en-US" w:bidi="he-IL"/>
        </w:rPr>
        <w:t>1</w:t>
      </w:r>
      <w:r>
        <w:rPr>
          <w:rFonts w:hint="default" w:cstheme="minorBidi"/>
          <w:rtl w:val="0"/>
          <w:lang w:val="en-US" w:bidi="he-IL"/>
        </w:rPr>
        <w:t>.</w:t>
      </w:r>
      <w:r>
        <w:rPr>
          <w:rFonts w:hint="default" w:cstheme="minorBidi"/>
          <w:rtl w:val="0"/>
          <w:lang w:val="en-US" w:bidi="he-IL"/>
        </w:rPr>
        <w:br w:type="textWrapping"/>
      </w:r>
      <w:r>
        <w:rPr>
          <w:rFonts w:hint="default" w:cstheme="minorBidi"/>
          <w:rtl w:val="0"/>
          <w:lang w:val="en-US" w:bidi="he-IL"/>
        </w:rPr>
        <w:t xml:space="preserve">ברוכים הבאים ל‑BlockView  </w:t>
      </w:r>
    </w:p>
    <w:p w14:paraId="1F63F53E">
      <w:pPr>
        <w:rPr>
          <w:rFonts w:hint="default" w:cstheme="minorBidi"/>
          <w:rtl w:val="0"/>
          <w:lang w:val="en-US" w:bidi="he-IL"/>
        </w:rPr>
      </w:pPr>
      <w:r>
        <w:rPr>
          <w:rFonts w:hint="default" w:cstheme="minorBidi"/>
          <w:rtl w:val="0"/>
          <w:lang w:val="en-US" w:bidi="he-IL"/>
        </w:rPr>
        <w:t>BlockView היא מפת נדל"ן תלת־ממדית, שבה ניתן להקיש על בניין ולצפות בדירות שבו. תנאים אלה מהווים הסכם מחייב בינך לבין BlockView, המופעלת ומנוהלת על ידי UpliftB LLC (ח.פ. 0008077027) ו‑Mor Media (ח.פ. 309485167) ("אנחנו", "השירות"). תנאים אלה חלים על האתר blockview.co.il, על אפליקציית המובייל, על מערכת ה‑CRM לסוכנים ועל כל שירות נלווה. השימוש בשירות מהווה הסכמה לתנאים אלה. אם אינך מסכים — אל תשתמש בשירות.</w:t>
      </w:r>
      <w:r>
        <w:rPr>
          <w:rFonts w:hint="default" w:cstheme="minorBidi"/>
          <w:rtl w:val="0"/>
          <w:lang w:val="en-US" w:bidi="he-IL"/>
        </w:rPr>
        <w:br w:type="textWrapping"/>
      </w:r>
      <w:r>
        <w:rPr>
          <w:rFonts w:hint="default" w:cstheme="minorBidi"/>
          <w:rtl w:val="0"/>
          <w:lang w:val="en-US" w:bidi="he-IL"/>
        </w:rPr>
        <w:br w:type="textWrapping"/>
      </w:r>
      <w:r>
        <w:rPr>
          <w:rFonts w:hint="default" w:cstheme="minorBidi"/>
          <w:rtl w:val="0"/>
          <w:lang w:val="en-US" w:bidi="he-IL"/>
        </w:rPr>
        <w:t>----------------------------------</w:t>
      </w:r>
      <w:r>
        <w:rPr>
          <w:rFonts w:hint="default" w:cstheme="minorBidi"/>
          <w:rtl w:val="0"/>
          <w:lang w:val="en-US" w:bidi="he-IL"/>
        </w:rPr>
        <w:br w:type="textWrapping"/>
      </w:r>
      <w:r>
        <w:rPr>
          <w:rFonts w:hint="default" w:cstheme="minorBidi"/>
          <w:rtl w:val="0"/>
          <w:lang w:val="en-US" w:bidi="he-IL"/>
        </w:rPr>
        <w:t xml:space="preserve">6. מהו השירות — פלטפורמה בלבד  </w:t>
      </w:r>
    </w:p>
    <w:p w14:paraId="2FA069F7">
      <w:pPr>
        <w:rPr>
          <w:rFonts w:hint="default" w:cstheme="minorBidi"/>
          <w:rtl w:val="0"/>
          <w:lang w:val="en-US" w:bidi="he-IL"/>
        </w:rPr>
      </w:pPr>
      <w:r>
        <w:rPr>
          <w:rFonts w:hint="default" w:cstheme="minorBidi"/>
          <w:rtl w:val="0"/>
          <w:lang w:val="en-US" w:bidi="he-IL"/>
        </w:rPr>
        <w:t>BlockView היא פלטפורמת תיווך מידע: אנחנו מציגים מודעות שפרסמו בעלי נכסים וסוכני נדל"ן. איננו צד לעסקה, איננו מתווכים בעסקה, איננו מייצגים אף צד ואיננו נותנים ייעוץ משפטי, מיסויי, שמאי או פיננסי.</w:t>
      </w:r>
    </w:p>
    <w:p w14:paraId="049815BA">
      <w:pPr>
        <w:rPr>
          <w:rFonts w:hint="default" w:cstheme="minorBidi"/>
          <w:rtl w:val="0"/>
          <w:lang w:val="en-US" w:bidi="he-IL"/>
        </w:rPr>
      </w:pPr>
    </w:p>
    <w:p w14:paraId="7BEB9575">
      <w:pPr>
        <w:rPr>
          <w:rFonts w:hint="default" w:cstheme="minorBidi"/>
          <w:rtl w:val="0"/>
          <w:lang w:val="en-US" w:bidi="he-IL"/>
        </w:rPr>
      </w:pPr>
      <w:r>
        <w:rPr>
          <w:rFonts w:hint="default" w:cstheme="minorBidi"/>
          <w:rtl w:val="0"/>
          <w:lang w:val="en-US" w:bidi="he-IL"/>
        </w:rPr>
        <w:t>כל התקשרות, משא ומתן, ביקור בנכס, תשלום או חוזה הם באחריות הצדדים בלבד. אנו ממליצים לבדוק כל נכס באופן עצמאי, לרבות רישום בטאבו, זכויות בנייה, מצב פיזי ומחיר.</w:t>
      </w:r>
    </w:p>
    <w:p w14:paraId="50EECFD1">
      <w:pPr>
        <w:rPr>
          <w:rFonts w:hint="default" w:cstheme="minorBidi"/>
          <w:rtl w:val="0"/>
          <w:lang w:val="en-US" w:bidi="he-IL"/>
        </w:rPr>
      </w:pPr>
    </w:p>
    <w:p w14:paraId="2F970AB1">
      <w:pPr>
        <w:rPr>
          <w:rFonts w:hint="default" w:cstheme="minorBidi"/>
          <w:rtl w:val="0"/>
          <w:lang w:val="en-US" w:bidi="he-IL"/>
        </w:rPr>
      </w:pPr>
      <w:r>
        <w:rPr>
          <w:rFonts w:hint="default" w:cstheme="minorBidi"/>
          <w:rtl w:val="0"/>
          <w:lang w:val="en-US" w:bidi="he-IL"/>
        </w:rPr>
        <w:t>איננו אוספים מודעות מאתרים אחרים ("סקרייפינג"). כל המודעות נמסרות ישירות על ידי המפרסמים.</w:t>
      </w:r>
    </w:p>
    <w:p w14:paraId="2B653392">
      <w:pPr>
        <w:rPr>
          <w:rFonts w:hint="default" w:cstheme="minorBidi"/>
          <w:rtl w:val="0"/>
          <w:lang w:val="en-US" w:bidi="he-IL"/>
        </w:rPr>
      </w:pPr>
    </w:p>
    <w:p w14:paraId="6828AB1C">
      <w:pPr>
        <w:rPr>
          <w:rFonts w:hint="cs" w:cstheme="minorBidi"/>
          <w:rtl/>
          <w:lang w:val="en-US" w:bidi="he-IL"/>
        </w:rPr>
      </w:pPr>
      <w:r>
        <w:rPr>
          <w:rFonts w:hint="default" w:cstheme="minorBidi"/>
          <w:rtl w:val="0"/>
          <w:lang w:val="en-US" w:bidi="he-IL"/>
        </w:rPr>
        <w:t>עם זאת, החברה רשאית בכל עת להוסיף שירותים נוספים אשר במסגרתם נהיה צד לעסקה, בניגוד למצב הקיים כיום. במקרה כזה, תנאי השימוש יעודכנו בהתאם, ותישלח הודעת דוא"ל לכל המשתמשים המעדכנת על השינוי ועל תנאי השימוש החדשים.</w:t>
      </w:r>
      <w:r>
        <w:rPr>
          <w:rFonts w:hint="default" w:cstheme="minorBidi"/>
          <w:rtl w:val="0"/>
          <w:lang w:val="en-US" w:bidi="he-IL"/>
        </w:rPr>
        <w:br w:type="textWrapping"/>
      </w:r>
      <w:r>
        <w:rPr>
          <w:rFonts w:hint="cs" w:cstheme="minorBidi"/>
          <w:rtl/>
          <w:lang w:val="en-US" w:bidi="he-IL"/>
        </w:rPr>
        <w:t>-----------------------------------</w:t>
      </w:r>
      <w:r>
        <w:rPr>
          <w:rFonts w:hint="cs" w:cstheme="minorBidi"/>
          <w:rtl/>
          <w:lang w:val="en-US" w:bidi="he-IL"/>
        </w:rPr>
        <w:br w:type="textWrapping"/>
      </w:r>
      <w:r>
        <w:rPr>
          <w:rFonts w:hint="cs" w:cstheme="minorBidi"/>
          <w:rtl/>
          <w:lang w:val="en-US" w:bidi="he-IL"/>
        </w:rPr>
        <w:t xml:space="preserve">8. סוכני נדל"ן ומערכת ה‑CRM  </w:t>
      </w:r>
    </w:p>
    <w:p w14:paraId="2AA9E2EE">
      <w:pPr>
        <w:rPr>
          <w:rFonts w:hint="cs" w:cstheme="minorBidi"/>
          <w:rtl/>
          <w:lang w:val="en-US" w:bidi="he-IL"/>
        </w:rPr>
      </w:pPr>
      <w:r>
        <w:rPr>
          <w:rFonts w:hint="cs" w:cstheme="minorBidi"/>
          <w:rtl/>
          <w:lang w:val="en-US" w:bidi="he-IL"/>
        </w:rPr>
        <w:t>גישה כסוכן ניתנת רק לאחר הגשת בקשה ואישור על ידי מנהל המערכת. אנו רשאים לדרוש פרטי משרד ומספר רישיון תיווך, ולסרב לבקשה או לבטל גישה לפי שיקול דעתנו.</w:t>
      </w:r>
    </w:p>
    <w:p w14:paraId="40F39735">
      <w:pPr>
        <w:rPr>
          <w:rFonts w:hint="cs" w:cstheme="minorBidi"/>
          <w:rtl/>
          <w:lang w:val="en-US" w:bidi="he-IL"/>
        </w:rPr>
      </w:pPr>
    </w:p>
    <w:p w14:paraId="5921788F">
      <w:pPr>
        <w:rPr>
          <w:rFonts w:hint="cs" w:cstheme="minorBidi"/>
          <w:rtl/>
          <w:lang w:val="en-US" w:bidi="he-IL"/>
        </w:rPr>
      </w:pPr>
      <w:r>
        <w:rPr>
          <w:rFonts w:hint="cs" w:cstheme="minorBidi"/>
          <w:rtl/>
          <w:lang w:val="en-US" w:bidi="he-IL"/>
        </w:rPr>
        <w:t>פעילות תיווך במקרקעין בישראל מחייבת רישיון לפי חוק המתווכים במקרקעין, התשנ"ו‑1996. האחריות להחזקת רישיון בתוקף ולעמידה בדין החל היא של הסוכן בלבד.</w:t>
      </w:r>
    </w:p>
    <w:p w14:paraId="55E61503">
      <w:pPr>
        <w:rPr>
          <w:rFonts w:hint="cs" w:cstheme="minorBidi"/>
          <w:rtl/>
          <w:lang w:val="en-US" w:bidi="he-IL"/>
        </w:rPr>
      </w:pPr>
    </w:p>
    <w:p w14:paraId="32C54491">
      <w:pPr>
        <w:rPr>
          <w:rFonts w:hint="cs" w:cstheme="minorBidi"/>
          <w:rtl/>
          <w:lang w:val="en-US" w:bidi="he-IL"/>
        </w:rPr>
      </w:pPr>
      <w:r>
        <w:rPr>
          <w:rFonts w:hint="cs" w:cstheme="minorBidi"/>
          <w:rtl/>
          <w:lang w:val="en-US" w:bidi="he-IL"/>
        </w:rPr>
        <w:t>סוכן רשאי לפרסם ולנהל רק נכסים שיש לו הרשאה לשווק, ומתחייב להסיר מודעה שאינה רלוונטית עוד.</w:t>
      </w:r>
    </w:p>
    <w:p w14:paraId="47E4A7A4">
      <w:pPr>
        <w:rPr>
          <w:rFonts w:hint="cs" w:cstheme="minorBidi"/>
          <w:rtl/>
          <w:lang w:val="en-US" w:bidi="he-IL"/>
        </w:rPr>
      </w:pPr>
    </w:p>
    <w:p w14:paraId="5C15D31E">
      <w:pPr>
        <w:rPr>
          <w:rFonts w:hint="cs" w:cstheme="minorBidi"/>
          <w:rtl/>
          <w:lang w:val="en-US" w:bidi="he-IL"/>
        </w:rPr>
      </w:pPr>
      <w:r>
        <w:rPr>
          <w:rFonts w:hint="cs" w:cstheme="minorBidi"/>
          <w:rtl/>
          <w:lang w:val="en-US" w:bidi="he-IL"/>
        </w:rPr>
        <w:t xml:space="preserve">בנוסף, האתר והאפליקציה מפעילים שירות הערות (Feedback) המאפשר למשתמשים לדווח על מודעות שאינן רלוונטיות. במקרה שנמסר פידבק כי מודעה אינה רלוונטית, יישלח אימייל למפרסם המודעה המבקש לאשר כי אכן המודעה אינה רלוונטית. אם המפרסם לא יגיב להודעה, הדבר ייחשב כהסכמה מצדו לאפשר לחברה להקפיא או למחוק את המודעה ממאגר הדירות. החברה רשאית לבצע פעולה זו כדי לשמר את </w:t>
      </w:r>
      <w:r>
        <w:rPr>
          <w:rFonts w:hint="cs" w:cstheme="minorBidi"/>
          <w:rtl/>
          <w:lang w:val="en-US" w:bidi="he-IL"/>
        </w:rPr>
        <w:br w:type="textWrapping"/>
      </w:r>
      <w:r>
        <w:rPr>
          <w:rFonts w:hint="cs" w:cstheme="minorBidi"/>
          <w:rtl/>
          <w:lang w:val="en-US" w:bidi="he-IL"/>
        </w:rPr>
        <w:t>----------------------------------------</w:t>
      </w:r>
      <w:r>
        <w:rPr>
          <w:rFonts w:hint="cs" w:cstheme="minorBidi"/>
          <w:rtl/>
          <w:lang w:val="en-US" w:bidi="he-IL"/>
        </w:rPr>
        <w:br w:type="textWrapping"/>
      </w:r>
      <w:r>
        <w:rPr>
          <w:rFonts w:hint="cs" w:cstheme="minorBidi"/>
          <w:rtl/>
          <w:lang w:val="en-US" w:bidi="he-IL"/>
        </w:rPr>
        <w:t xml:space="preserve">10. תוכן שאתה מעלה והרשאות השימוש בו  </w:t>
      </w:r>
    </w:p>
    <w:p w14:paraId="7A0098E9">
      <w:pPr>
        <w:rPr>
          <w:rFonts w:hint="cs" w:cstheme="minorBidi"/>
          <w:rtl/>
          <w:lang w:val="en-US" w:bidi="he-IL"/>
        </w:rPr>
      </w:pPr>
      <w:r>
        <w:rPr>
          <w:rFonts w:hint="cs" w:cstheme="minorBidi"/>
          <w:rtl/>
          <w:lang w:val="en-US" w:bidi="he-IL"/>
        </w:rPr>
        <w:t>התוכן שאתה מעלה (מודעות, טקסטים, תמונות, קישורי סיור וירטואלי) נשאר שלך. עם זאת, בהעלאתו אתה מעניק לחברה רישיון לא בלעדי, עולמי ונטול תמלוגים להשתמש בו – לרבות הצגה, אחסון, העתקה, הקטנה, התאמה, הפצה ושימוש חוזר לצרכים תפעוליים, שיווקיים ופרסומיים, לצורך הפעלת השירות וקידומו.</w:t>
      </w:r>
    </w:p>
    <w:p w14:paraId="15839008">
      <w:pPr>
        <w:rPr>
          <w:rFonts w:hint="cs" w:cstheme="minorBidi"/>
          <w:rtl/>
          <w:lang w:val="en-US" w:bidi="he-IL"/>
        </w:rPr>
      </w:pPr>
    </w:p>
    <w:p w14:paraId="2CFC3160">
      <w:pPr>
        <w:rPr>
          <w:rFonts w:hint="cs" w:cstheme="minorBidi"/>
          <w:rtl/>
          <w:lang w:val="en-US" w:bidi="he-IL"/>
        </w:rPr>
      </w:pPr>
      <w:r>
        <w:rPr>
          <w:rFonts w:hint="cs" w:cstheme="minorBidi"/>
          <w:rtl/>
          <w:lang w:val="en-US" w:bidi="he-IL"/>
        </w:rPr>
        <w:t>אתה מצהיר שאתה בעל הזכויות בתוכן או בעל היתר להשתמש בו, ושאין בו הפרה של זכויות יוצרים, סימני מסחר, פרטיות או כל זכות אחרת. אין להעלות תמונות של אנשים ללא הסכמתם, ואין להעלות תוכן שאינו קשור לנכס המפורסם.</w:t>
      </w:r>
    </w:p>
    <w:p w14:paraId="41DCA127">
      <w:pPr>
        <w:rPr>
          <w:rFonts w:hint="cs" w:cstheme="minorBidi"/>
          <w:rtl/>
          <w:lang w:val="en-US" w:bidi="he-IL"/>
        </w:rPr>
      </w:pPr>
    </w:p>
    <w:p w14:paraId="5E4B5A10">
      <w:pPr>
        <w:rPr>
          <w:rFonts w:hint="cs" w:cstheme="minorBidi"/>
          <w:rtl/>
          <w:lang w:val="en-US" w:bidi="he-IL"/>
        </w:rPr>
      </w:pPr>
      <w:r>
        <w:rPr>
          <w:rFonts w:hint="cs" w:cstheme="minorBidi"/>
          <w:rtl/>
          <w:lang w:val="en-US" w:bidi="he-IL"/>
        </w:rPr>
        <w:t>החברה רשאית לשמור את התוכן במערכותיה גם לאחר שהמודעה הוסרה, לצרכים תפעוליים או משפטיים. כמו כן, חלק מהשירותים או המדורים באתר עשויים להיות מופעלים על ידי צדדים שלישיים, ולכן התוכן שהמשתמש מעלה עשוי להיות מועבר או מוצג גם אצלם.</w:t>
      </w:r>
    </w:p>
    <w:p w14:paraId="2D2C7AA9">
      <w:pPr>
        <w:rPr>
          <w:rFonts w:hint="cs" w:cstheme="minorBidi"/>
          <w:rtl/>
          <w:lang w:val="en-US" w:bidi="he-IL"/>
        </w:rPr>
      </w:pPr>
    </w:p>
    <w:p w14:paraId="3796DA92">
      <w:pPr>
        <w:jc w:val="right"/>
        <w:rPr>
          <w:rFonts w:hint="cs" w:cstheme="minorBidi"/>
          <w:rtl/>
          <w:lang w:val="en-US" w:bidi="he-IL"/>
        </w:rPr>
      </w:pPr>
      <w:r>
        <w:rPr>
          <w:rFonts w:hint="cs" w:cstheme="minorBidi"/>
          <w:rtl/>
          <w:lang w:val="en-US" w:bidi="he-IL"/>
        </w:rPr>
        <w:t xml:space="preserve">האחריות לנכונות התוכן היא של המשתמש בלבד. החברה אינה מתחייבת לבדוק או לאמת את נכונות המידע, ואינה מחויבת לשלם למשתמש עבור השימוש בתוכן. כל טענה או בעיה משפטית הנובעת מהתוכן היא </w:t>
      </w:r>
      <w:r>
        <w:rPr>
          <w:rFonts w:hint="cs" w:cstheme="minorBidi"/>
          <w:rtl/>
          <w:lang w:val="en-US" w:bidi="he-IL"/>
        </w:rPr>
        <w:br w:type="textWrapping"/>
      </w:r>
      <w:r>
        <w:rPr>
          <w:rFonts w:hint="cs" w:cstheme="minorBidi"/>
          <w:rtl/>
          <w:lang w:val="en-US" w:bidi="he-IL"/>
        </w:rPr>
        <w:t>------------------------------</w:t>
      </w:r>
      <w:r>
        <w:rPr>
          <w:rFonts w:hint="cs" w:cstheme="minorBidi"/>
          <w:rtl/>
          <w:lang w:val="en-US" w:bidi="he-IL"/>
        </w:rPr>
        <w:br w:type="textWrapping"/>
      </w:r>
      <w:r>
        <w:rPr>
          <w:rFonts w:hint="cs" w:cstheme="minorBidi"/>
          <w:rtl/>
          <w:lang w:val="en-US" w:bidi="he-IL"/>
        </w:rPr>
        <w:t>14</w:t>
      </w:r>
      <w:r>
        <w:rPr>
          <w:rFonts w:hint="default" w:cstheme="minorBidi"/>
          <w:rtl w:val="0"/>
          <w:lang w:val="en-US" w:bidi="he-IL"/>
        </w:rPr>
        <w:t xml:space="preserve">. </w:t>
      </w:r>
      <w:r>
        <w:rPr>
          <w:rFonts w:hint="cs" w:cstheme="minorBidi"/>
          <w:rtl/>
          <w:lang w:val="en-US" w:bidi="he-IL"/>
        </w:rPr>
        <w:t xml:space="preserve">ביטול עסקה והחזרים </w:t>
      </w:r>
      <w:r>
        <w:rPr>
          <w:rFonts w:hint="cs" w:cstheme="minorBidi"/>
          <w:rtl/>
          <w:lang w:val="en-US" w:bidi="he-IL"/>
        </w:rPr>
        <w:br w:type="textWrapping"/>
      </w:r>
      <w:r>
        <w:rPr>
          <w:rFonts w:hint="cs" w:cstheme="minorBidi"/>
          <w:rtl/>
          <w:lang w:val="en-US" w:bidi="he-IL"/>
        </w:rPr>
        <w:t xml:space="preserve">אחריות המשתמש  </w:t>
      </w:r>
    </w:p>
    <w:p w14:paraId="5529A55C">
      <w:pPr>
        <w:jc w:val="right"/>
        <w:rPr>
          <w:rFonts w:hint="cs" w:cstheme="minorBidi"/>
          <w:rtl/>
          <w:lang w:val="en-US" w:bidi="he-IL"/>
        </w:rPr>
      </w:pPr>
      <w:r>
        <w:rPr>
          <w:rFonts w:hint="cs" w:cstheme="minorBidi"/>
          <w:rtl/>
          <w:lang w:val="en-US" w:bidi="he-IL"/>
        </w:rPr>
        <w:t>המשתמש אחראי לבטל את השירות או המודעה בעצמו דרך המערכת. בקשה טלפונית או במייל אינה נחשבת ביטול רשמי.</w:t>
      </w:r>
    </w:p>
    <w:p w14:paraId="79064914">
      <w:pPr>
        <w:jc w:val="right"/>
        <w:rPr>
          <w:rFonts w:hint="cs" w:cstheme="minorBidi"/>
          <w:rtl/>
          <w:lang w:val="en-US" w:bidi="he-IL"/>
        </w:rPr>
      </w:pPr>
      <w:r>
        <w:rPr>
          <w:rFonts w:hint="cs" w:cstheme="minorBidi"/>
          <w:rtl/>
          <w:lang w:val="en-US" w:bidi="he-IL"/>
        </w:rPr>
        <w:t>לקוח פרטי רשאי לבטל עסקה לרכישת מנוי בתוך 14 ימים ממועד ביצועה או ממועד קבלת מסמך פרטי העסקה, לפי המאוחר, בהתאם לחוק הגנת הצרכן, התשמ"א-1981. בביטול שאינו עקב פגם או אי-התאמה, אנו רשאים לגבות דמי ביטול בשיעור של 5% ממחיר העסקה או 100 ש"ח — לפי הנמוך מביניהם.</w:t>
      </w:r>
    </w:p>
    <w:p w14:paraId="128901BA">
      <w:pPr>
        <w:jc w:val="right"/>
        <w:rPr>
          <w:rFonts w:hint="cs" w:cstheme="minorBidi"/>
          <w:rtl/>
          <w:lang w:val="en-US" w:bidi="he-IL"/>
        </w:rPr>
      </w:pPr>
      <w:r>
        <w:rPr>
          <w:rFonts w:hint="cs" w:cstheme="minorBidi"/>
          <w:rtl/>
          <w:lang w:val="en-US" w:bidi="he-IL"/>
        </w:rPr>
        <w:t>לאדם עם מוגבלות, אזרח ותיק או עולה חדש עומדת זכות ביטול מורחבת של ארבעה חודשים, בעסקה שנעשתה בשיחה שכללה הצגת העסקה, בכפוף להצגת תעודה מתאימה.</w:t>
      </w:r>
    </w:p>
    <w:p w14:paraId="19BB6AF0">
      <w:pPr>
        <w:jc w:val="right"/>
        <w:rPr>
          <w:rFonts w:hint="cs" w:cstheme="minorBidi"/>
          <w:rtl/>
          <w:lang w:val="en-US" w:bidi="he-IL"/>
        </w:rPr>
      </w:pPr>
      <w:r>
        <w:rPr>
          <w:rFonts w:hint="cs" w:cstheme="minorBidi"/>
          <w:rtl/>
          <w:lang w:val="en-US" w:bidi="he-IL"/>
        </w:rPr>
        <w:t xml:space="preserve">החזרים כספיים  </w:t>
      </w:r>
    </w:p>
    <w:p w14:paraId="27F9C4EC">
      <w:pPr>
        <w:jc w:val="right"/>
        <w:rPr>
          <w:rFonts w:hint="cs" w:cstheme="minorBidi"/>
          <w:rtl/>
          <w:lang w:val="en-US" w:bidi="he-IL"/>
        </w:rPr>
      </w:pPr>
      <w:r>
        <w:rPr>
          <w:rFonts w:hint="cs" w:cstheme="minorBidi"/>
          <w:rtl/>
          <w:lang w:val="en-US" w:bidi="he-IL"/>
        </w:rPr>
        <w:t>החזרים אינם ניתנים באופן אוטומטי. החברה מבהירה כי אין החזר יחסי (פרו־רטה) על זמן שלא נוצל, אלא אם מדובר בתחילת מחזור חיוב חדש ובמקרים חריגים בהם תישקל בקשת החזר.</w:t>
      </w:r>
    </w:p>
    <w:p w14:paraId="1F68EB78">
      <w:pPr>
        <w:jc w:val="right"/>
        <w:rPr>
          <w:rFonts w:hint="cs" w:cstheme="minorBidi"/>
          <w:rtl/>
          <w:lang w:val="en-US" w:bidi="he-IL"/>
        </w:rPr>
      </w:pPr>
      <w:r>
        <w:rPr>
          <w:rFonts w:hint="cs" w:cstheme="minorBidi"/>
          <w:rtl/>
          <w:lang w:val="en-US" w:bidi="he-IL"/>
        </w:rPr>
        <w:t>ביטול מנוי שנרכש דרך חנות אפליקציות (Google Play או App Store) מתבצע דרך אותה חנות ובכפוף לתנאיה.</w:t>
      </w:r>
    </w:p>
    <w:p w14:paraId="05CF5866">
      <w:pPr>
        <w:jc w:val="right"/>
        <w:rPr>
          <w:rFonts w:hint="cs" w:cstheme="minorBidi"/>
          <w:rtl/>
          <w:lang w:val="en-US" w:bidi="he-IL"/>
        </w:rPr>
      </w:pPr>
      <w:r>
        <w:rPr>
          <w:rFonts w:hint="cs" w:cstheme="minorBidi"/>
          <w:rtl/>
          <w:lang w:val="en-US" w:bidi="he-IL"/>
        </w:rPr>
        <w:t xml:space="preserve">שירותים בתשלום  </w:t>
      </w:r>
    </w:p>
    <w:p w14:paraId="1EA12D09">
      <w:pPr>
        <w:jc w:val="right"/>
        <w:rPr>
          <w:rFonts w:hint="cs" w:cstheme="minorBidi"/>
          <w:rtl/>
          <w:lang w:val="en-US" w:bidi="he-IL"/>
        </w:rPr>
      </w:pPr>
      <w:r>
        <w:rPr>
          <w:rFonts w:hint="cs" w:cstheme="minorBidi"/>
          <w:rtl/>
          <w:lang w:val="en-US" w:bidi="he-IL"/>
        </w:rPr>
        <w:t>עבור שירותים בתשלום (כגון מודעות מודגשות או פרסום מתקדם), התשלום מתבצע מראש. אם המשתמש לא משלם, השירות מוקפא עד להסדרת התשלום.</w:t>
      </w:r>
    </w:p>
    <w:p w14:paraId="730F06AD">
      <w:pPr>
        <w:jc w:val="right"/>
        <w:rPr>
          <w:rFonts w:hint="cs" w:cstheme="minorBidi"/>
          <w:rtl/>
          <w:lang w:val="en-US" w:bidi="he-IL"/>
        </w:rPr>
      </w:pPr>
      <w:r>
        <w:rPr>
          <w:rFonts w:hint="cs" w:cstheme="minorBidi"/>
          <w:rtl/>
          <w:lang w:val="en-US" w:bidi="he-IL"/>
        </w:rPr>
        <w:t>לקוח עסקי אינו זכאי לביטול לפי חוק הגנת הצרכן; ביטול מנוי עסקי ייעשה לפי התנאים שסוכמו בעת ההצטרפות. מודעה או שירות שנוצלו בפועל אינם מזכים בזיכוי.</w:t>
      </w:r>
    </w:p>
    <w:p w14:paraId="0F726913">
      <w:pPr>
        <w:jc w:val="right"/>
        <w:rPr>
          <w:rFonts w:hint="cs" w:cstheme="minorBidi"/>
          <w:rtl/>
          <w:lang w:val="en-US" w:bidi="he-IL"/>
        </w:rPr>
      </w:pPr>
    </w:p>
    <w:p w14:paraId="27CDE7A6">
      <w:pPr>
        <w:jc w:val="right"/>
        <w:rPr>
          <w:rFonts w:hint="cs" w:cstheme="minorBidi"/>
          <w:rtl/>
          <w:lang w:val="en-US" w:bidi="he-IL"/>
        </w:rPr>
      </w:pPr>
      <w:r>
        <w:rPr>
          <w:rFonts w:hint="cs" w:cstheme="minorBidi"/>
          <w:rtl/>
          <w:lang w:val="en-US" w:bidi="he-IL"/>
        </w:rPr>
        <w:t>בקשת ביטול תישלח ל-support@blockview.co.il או דרך הגדרות החשבון. החזר, ככל שמגיע, יבוצע באמצעי התשלום המקורי בתוך 14 ימים ממועד קבלת הבקשה.</w:t>
      </w:r>
    </w:p>
    <w:p w14:paraId="74C70BEF">
      <w:pPr>
        <w:jc w:val="right"/>
        <w:rPr>
          <w:rFonts w:hint="cs" w:cstheme="minorBidi"/>
          <w:rtl/>
          <w:lang w:val="en-US" w:bidi="he-IL"/>
        </w:rPr>
      </w:pPr>
      <w:r>
        <w:rPr>
          <w:rFonts w:hint="cs" w:cstheme="minorBidi"/>
          <w:rtl/>
          <w:lang w:val="en-US" w:bidi="he-IL"/>
        </w:rPr>
        <w:t xml:space="preserve">ביטול מנוי  </w:t>
      </w:r>
    </w:p>
    <w:p w14:paraId="155F4AB8">
      <w:pPr>
        <w:jc w:val="right"/>
        <w:rPr>
          <w:rFonts w:hint="cs" w:cstheme="minorBidi"/>
          <w:rtl/>
          <w:lang w:val="en-US" w:bidi="he-IL"/>
        </w:rPr>
      </w:pPr>
      <w:r>
        <w:rPr>
          <w:rFonts w:hint="cs" w:cstheme="minorBidi"/>
          <w:rtl/>
          <w:lang w:val="en-US" w:bidi="he-IL"/>
        </w:rPr>
        <w:t>ניתן לבטל מנוי בכל עת דרך ממשק המשתמש. הביטול נכנס לתוקף בסיום תקופת החיוב הנוכחית, ולא מתבצע החזר על יתרת התקופה.</w:t>
      </w:r>
    </w:p>
    <w:p w14:paraId="0EA1E97A">
      <w:pPr>
        <w:jc w:val="right"/>
        <w:rPr>
          <w:rFonts w:hint="cs" w:cstheme="minorBidi"/>
          <w:rtl/>
          <w:lang w:val="en-US" w:bidi="he-IL"/>
        </w:rPr>
      </w:pPr>
    </w:p>
    <w:p w14:paraId="66E6DC57">
      <w:pPr>
        <w:jc w:val="right"/>
        <w:rPr>
          <w:rFonts w:hint="cs" w:cstheme="minorBidi"/>
          <w:rtl/>
          <w:lang w:val="en-US" w:bidi="he-IL"/>
        </w:rPr>
      </w:pPr>
      <w:r>
        <w:rPr>
          <w:rFonts w:hint="cs" w:cstheme="minorBidi"/>
          <w:rtl/>
          <w:lang w:val="en-US" w:bidi="he-IL"/>
        </w:rPr>
        <w:t xml:space="preserve">שיקול דעת החברה  </w:t>
      </w:r>
    </w:p>
    <w:p w14:paraId="06D972F1">
      <w:pPr>
        <w:jc w:val="right"/>
        <w:rPr>
          <w:rFonts w:hint="cs" w:cstheme="minorBidi"/>
          <w:rtl/>
          <w:lang w:val="en-US" w:bidi="he-IL"/>
        </w:rPr>
      </w:pPr>
      <w:r>
        <w:rPr>
          <w:rFonts w:hint="cs" w:cstheme="minorBidi"/>
          <w:rtl/>
          <w:lang w:val="en-US" w:bidi="he-IL"/>
        </w:rPr>
        <w:t>החברה שומרת לעצמה את הזכות לסרב להחזרים או לבטל שירותים במקרה של שימוש לרעה או הפרת תנאי השימוש.</w:t>
      </w:r>
      <w:r>
        <w:rPr>
          <w:rFonts w:hint="cs" w:cstheme="minorBidi"/>
          <w:rtl/>
          <w:lang w:val="en-US" w:bidi="he-IL"/>
        </w:rPr>
        <w:br w:type="textWrapping"/>
      </w:r>
      <w:r>
        <w:rPr>
          <w:rFonts w:hint="cs" w:cstheme="minorBidi"/>
          <w:rtl/>
          <w:lang w:val="en-US" w:bidi="he-IL"/>
        </w:rPr>
        <w:t>-------------------------------------</w:t>
      </w:r>
      <w:r>
        <w:rPr>
          <w:rFonts w:hint="cs" w:cstheme="minorBidi"/>
          <w:rtl/>
          <w:lang w:val="en-US" w:bidi="he-IL"/>
        </w:rPr>
        <w:br w:type="textWrapping"/>
      </w:r>
      <w:r>
        <w:rPr>
          <w:rFonts w:hint="cs" w:cstheme="minorBidi"/>
          <w:rtl/>
          <w:lang w:val="en-US" w:bidi="he-IL"/>
        </w:rPr>
        <w:t xml:space="preserve">16. מפות ותכנים של צדדים שלישיים  </w:t>
      </w:r>
    </w:p>
    <w:p w14:paraId="50E80DD3">
      <w:pPr>
        <w:jc w:val="right"/>
        <w:rPr>
          <w:rFonts w:hint="cs" w:cstheme="minorBidi"/>
          <w:rtl/>
          <w:lang w:val="en-US" w:bidi="he-IL"/>
        </w:rPr>
      </w:pPr>
      <w:r>
        <w:rPr>
          <w:rFonts w:hint="cs" w:cstheme="minorBidi"/>
          <w:rtl/>
          <w:lang w:val="en-US" w:bidi="he-IL"/>
        </w:rPr>
        <w:t>מפות הרקע ונתוני הבניינים מוצגים באמצעות שירותי מיפוי ותכנים המסופקים על ידי צדדים שלישיים. מיקומי בניינים, גבהים ומתארים הם קירוב בלבד ואינם מהווים מדידה גיאודטית או תשריט מחייב.</w:t>
      </w:r>
    </w:p>
    <w:p w14:paraId="46F5C8F6">
      <w:pPr>
        <w:jc w:val="right"/>
        <w:rPr>
          <w:rFonts w:hint="cs" w:cstheme="minorBidi"/>
          <w:rtl/>
          <w:lang w:val="en-US" w:bidi="he-IL"/>
        </w:rPr>
      </w:pPr>
    </w:p>
    <w:p w14:paraId="5B101A30">
      <w:pPr>
        <w:jc w:val="right"/>
        <w:rPr>
          <w:rFonts w:hint="default" w:cstheme="minorBidi"/>
          <w:lang w:val="en-US" w:bidi="he-IL"/>
        </w:rPr>
      </w:pPr>
      <w:r>
        <w:rPr>
          <w:rFonts w:hint="cs" w:cstheme="minorBidi"/>
          <w:rtl/>
          <w:lang w:val="en-US" w:bidi="he-IL"/>
        </w:rPr>
        <w:t>קישורים לאתרים או שירותים חיצוניים (למשל סיור וירטואלי) עשויים להופיע במסגרת השירות, ואינם באחריותנו. כל שימוש בתכנים אלה כפוף לתנאי השימוש של הצדדים השלישיים המספקים אותם.</w:t>
      </w:r>
      <w:r>
        <w:rPr>
          <w:rFonts w:hint="cs" w:cstheme="minorBidi"/>
          <w:rtl/>
          <w:lang w:val="en-US" w:bidi="he-IL"/>
        </w:rPr>
        <w:br w:type="textWrapping"/>
      </w:r>
      <w:r>
        <w:rPr>
          <w:rFonts w:hint="cs" w:cstheme="minorBidi"/>
          <w:rtl/>
          <w:lang w:val="en-US" w:bidi="he-IL"/>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8F2374"/>
    <w:rsid w:val="037B6451"/>
    <w:rsid w:val="038F2374"/>
    <w:rsid w:val="340919EE"/>
    <w:rsid w:val="3B705713"/>
    <w:rsid w:val="4CA50870"/>
    <w:rsid w:val="4E1C41B2"/>
    <w:rsid w:val="7A802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24</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2026-07-27T01:14:00Z</dcterms:created>
  <dc:creator>Chen Zurgil</dc:creator>
  <cp:lastModifiedBy>Chen Zurgil</cp:lastModifiedBy>
  <dcterms:modified xsi:type="dcterms:W3CDTF">2026-07-27T01:42:21Z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378217AB74274E14B16DF0958A207DBD_11</vt:lpwstr>
  </property>
  <property fmtid="{D5CDD505-2E9C-101B-9397-08002B2CF9AE}" pid="4" name="KSOTemplateDocerSaveRecord">
    <vt:lpwstr>eyJoZGlkIjoiYjAwNTJkNDRjMjZlODE4NmFjMmYzNjlkOGQyY2NiNzYiLCJ1c2VySWQiOiI4ODEzOTgxMjA0MzA0In0=</vt:lpwstr>
  </property>
</Properties>
</file>