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397323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000000" w:themeColor="text1"/>
          <w:sz w:val="24"/>
          <w:szCs w:val="24"/>
        </w:rPr>
      </w:sdtEndPr>
      <w:sdtContent>
        <w:p w14:paraId="1CC7EEDB" w14:textId="301B18BF" w:rsidR="0012708F" w:rsidRDefault="001270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231AA8" wp14:editId="06C26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3BB89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6AD9CC" wp14:editId="203260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C5DEE6" w14:textId="6CAE8C96" w:rsidR="0012708F" w:rsidRDefault="0012708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Ivan Alejandro Pasillas Gonzalez</w:t>
                                    </w:r>
                                  </w:p>
                                </w:sdtContent>
                              </w:sdt>
                              <w:p w14:paraId="66050448" w14:textId="77777777" w:rsidR="0012708F" w:rsidRDefault="0012708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6AD9C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C5DEE6" w14:textId="6CAE8C96" w:rsidR="0012708F" w:rsidRDefault="0012708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Ivan Alejandro Pasillas Gonzalez</w:t>
                              </w:r>
                            </w:p>
                          </w:sdtContent>
                        </w:sdt>
                        <w:p w14:paraId="66050448" w14:textId="77777777" w:rsidR="0012708F" w:rsidRDefault="0012708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A6E5C3" wp14:editId="68C942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84556" w14:textId="58F89D70" w:rsidR="0012708F" w:rsidRDefault="0012708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Programación de sistemas embebidos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A6E5C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F584556" w14:textId="58F89D70" w:rsidR="0012708F" w:rsidRDefault="0012708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Programación de sistemas embebidos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169D4F" wp14:editId="5A9D99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EF4C8" w14:textId="1DAE34EE" w:rsidR="0012708F" w:rsidRDefault="0012708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Comandos GCC y GDB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219EA9" w14:textId="35AC0557" w:rsidR="0012708F" w:rsidRDefault="001270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Ingeniería mecatrónica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169D4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C9EF4C8" w14:textId="1DAE34EE" w:rsidR="0012708F" w:rsidRDefault="001270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Comandos GCC y GDB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219EA9" w14:textId="35AC0557" w:rsidR="0012708F" w:rsidRDefault="001270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Ingeniería mecatrónica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spellStart"/>
          <w:r>
            <w:t>Com</w:t>
          </w:r>
          <w:proofErr w:type="spellEnd"/>
        </w:p>
        <w:p w14:paraId="3D72FEDD" w14:textId="6B1E0BC4" w:rsidR="0012708F" w:rsidRDefault="0012708F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br w:type="page"/>
          </w:r>
        </w:p>
      </w:sdtContent>
    </w:sdt>
    <w:p w14:paraId="3C0BC227" w14:textId="3A6B323C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Introducción: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GCC es un compilador integrado del proyecto GNU para C, C++,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Objective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C y Fortran; es capaz de recibir un programa fuente en cualquiera de estos lenguajes y generar un programa ejecutable binario en el lenguaje de la máquina donde ha de correr.</w:t>
      </w:r>
    </w:p>
    <w:p w14:paraId="2A242CD5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La sigla GCC significa "GNU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Compiler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Collection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". Originalmente significaba "GNU C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Compiler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"; todavía se </w:t>
      </w:r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</w:rPr>
        <w:t>usa  GCC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para designar una compilación en C. G++ refiere a una compilación en C++.</w:t>
      </w:r>
    </w:p>
    <w:p w14:paraId="48D8B8FA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GDB es una herramienta muy poderosa que nos ayudará a encontrar esos errores difíciles, por </w:t>
      </w:r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</w:rPr>
        <w:t>ejemplo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cuando los punteros no apuntan a donde estamos pensando. Si bien este tutorial está pensado para el lenguaje C, probablemente también sirva para depurar programas en Fortran o C++ con los mismos comandos o similares.</w:t>
      </w:r>
    </w:p>
    <w:p w14:paraId="3D3D213E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Marco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teorico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6D3119DE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Aquellos que desarrollan en C, conocen de las dificultades a las que se enfrenta cuando trata de depurar un programa, </w:t>
      </w:r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</w:rPr>
        <w:t>que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por ejemplo, por qué no se agrega un nodo a una lista o por qué no se copia determinado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 GDB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Gnu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Project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Debugger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) es una herramienta que permite entre otras cosas, correr el programa con la posibilidad de detenerlo cuando se cumple cierta condición, avanzar paso a paso, analizar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que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ha pasado cuando un programa se detiene o cambiar algunas cosas del programa como el valor de las variables.</w:t>
      </w:r>
    </w:p>
    <w:p w14:paraId="0FBA4B65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EB0AF9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10F5E1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B5A9A7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A61AF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C22D47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4FA0D5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D9F361" w14:textId="77777777" w:rsidR="00AD6908" w:rsidRPr="0012708F" w:rsidRDefault="00AD6908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5AAE94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Comandos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gcc</w:t>
      </w:r>
      <w:proofErr w:type="spellEnd"/>
    </w:p>
    <w:p w14:paraId="31E80B41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PATH_HOLD=$</w:t>
      </w:r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PATH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: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Este comando guarda tu PATH actual antes de que sea modificado, para poder restaurarlo después de la instalación.</w:t>
      </w:r>
    </w:p>
    <w:p w14:paraId="2E048BE4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export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PATH=/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opt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bin:$</w:t>
      </w:r>
      <w:proofErr w:type="gram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PATH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: Este comando permite encontrar el compilador Ada de GNAT para construir Ada.</w:t>
      </w:r>
    </w:p>
    <w:p w14:paraId="7F77726E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touch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treeprs.ads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[es]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info.h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nmake.ad[bs</w:t>
      </w:r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]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: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Este comando crea los ficheros necesarios para construir Ada. Puedes omitir este paso si no quieres compilar el frontal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frontend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 para Ada.</w:t>
      </w:r>
    </w:p>
    <w:p w14:paraId="246DE68A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CC=/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usr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/bin/</w:t>
      </w:r>
      <w:proofErr w:type="spellStart"/>
      <w:proofErr w:type="gram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gcc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: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Este comando es para evitar el uso del nuevo </w:t>
      </w:r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PATH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que pone al 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gcc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de GNAT como compilador primario.</w:t>
      </w:r>
    </w:p>
    <w:p w14:paraId="27320A49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--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enable-languages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=</w:t>
      </w:r>
      <w:proofErr w:type="spellStart"/>
      <w:proofErr w:type="gram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c,c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++</w:t>
      </w:r>
      <w:proofErr w:type="gram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,objc,f77,ada,java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: Este comando construye todos los lenguajes disponibles en el paquete GCC. Puedes modificar este comando para eliminar los lenguajes que no desees.</w:t>
      </w:r>
    </w:p>
    <w:p w14:paraId="45C1574E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--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enable-shared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--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enable-threads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=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posix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--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enable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-__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cxa_</w:t>
      </w:r>
      <w:proofErr w:type="gram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atexit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: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Estos comandos son necesarios para construir las librerías C++ según los estándares publicados.</w:t>
      </w:r>
    </w:p>
    <w:p w14:paraId="253F1B70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--</w:t>
      </w:r>
      <w:proofErr w:type="spell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enable-clocale</w:t>
      </w:r>
      <w:proofErr w:type="spellEnd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=</w:t>
      </w:r>
      <w:proofErr w:type="spellStart"/>
      <w:proofErr w:type="gramStart"/>
      <w:r w:rsidRPr="0012708F">
        <w:rPr>
          <w:rFonts w:ascii="Arial" w:hAnsi="Arial" w:cs="Arial"/>
          <w:i/>
          <w:iCs/>
          <w:color w:val="000000" w:themeColor="text1"/>
          <w:sz w:val="24"/>
          <w:szCs w:val="24"/>
        </w:rPr>
        <w:t>gnu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: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Este comando es un mecanismo de seguridad para datos de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locale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incompletos.</w:t>
      </w:r>
    </w:p>
    <w:p w14:paraId="010C51D6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make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gnatlib_and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tools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: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Este comando completa el proceso de construcción de Ada. Omítelo si no incluiste Ada entre los lenguajes.</w:t>
      </w:r>
    </w:p>
    <w:p w14:paraId="50AC306B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AEN7383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Contenido</w:t>
      </w:r>
      <w:bookmarkEnd w:id="0"/>
    </w:p>
    <w:p w14:paraId="78CA631E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El paquete GCC contiene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c++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c++filt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cpp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g++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g77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gcc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gccbug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gcov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glob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gnatbind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gnatbl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gnatchop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gnatfind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gnatkr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gnatlink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gnatls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gnatmake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gnatprep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gnatpsta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gnatpsys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gnatxref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y las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librerías GCC.</w:t>
      </w:r>
    </w:p>
    <w:p w14:paraId="074970EF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AEN7412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Descripciones</w:t>
      </w:r>
      <w:bookmarkEnd w:id="1"/>
    </w:p>
    <w:p w14:paraId="277E3E31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>Los programas y librerías que no se describen aquí se encuentran documentados en la página sobre GCC-3.3.1 del libro LFS.</w:t>
      </w:r>
    </w:p>
    <w:p w14:paraId="3124AE93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AEN7417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g77</w:t>
      </w:r>
      <w:bookmarkEnd w:id="2"/>
    </w:p>
    <w:p w14:paraId="674A0FE5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g77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es el compilador de Fortran invocado por 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gcc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50C3DF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AEN7423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add2line</w:t>
      </w:r>
      <w:bookmarkEnd w:id="3"/>
    </w:p>
    <w:p w14:paraId="78770944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add2line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 convierte los elementos orbitales de 2 líneas contenidos en un fichero del formato ASCII al binario y los añade a los ficheros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orbdata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B6BF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AEN7428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gcov</w:t>
      </w:r>
      <w:bookmarkEnd w:id="4"/>
      <w:proofErr w:type="spellEnd"/>
    </w:p>
    <w:p w14:paraId="1058C84E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gcov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un programa de chequeo de cobertura.</w:t>
      </w:r>
    </w:p>
    <w:p w14:paraId="39092450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AEN7432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bookmarkEnd w:id="5"/>
      <w:proofErr w:type="spellEnd"/>
    </w:p>
    <w:p w14:paraId="2EC2F1F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depurador de GNAT.</w:t>
      </w:r>
    </w:p>
    <w:p w14:paraId="07C8A570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AEN7438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gnatbind</w:t>
      </w:r>
      <w:bookmarkEnd w:id="6"/>
      <w:proofErr w:type="spellEnd"/>
    </w:p>
    <w:p w14:paraId="377F68F8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gnatbind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se usa para vincular los objetos compilados.</w:t>
      </w:r>
    </w:p>
    <w:p w14:paraId="2DEABD2C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AEN7442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gnatbl</w:t>
      </w:r>
      <w:bookmarkEnd w:id="7"/>
      <w:proofErr w:type="spellEnd"/>
    </w:p>
    <w:p w14:paraId="21681AFA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gnatbl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enlazador de Ada.</w:t>
      </w:r>
    </w:p>
    <w:p w14:paraId="31DFA211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AEN7447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gnatchop</w:t>
      </w:r>
      <w:bookmarkEnd w:id="8"/>
      <w:proofErr w:type="spellEnd"/>
    </w:p>
    <w:p w14:paraId="6B59375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gnatchop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renombra ficheros para que cumplan con las convenciones de nombres de ficheros del Ada estándar.</w:t>
      </w:r>
    </w:p>
    <w:p w14:paraId="58AC3A20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AEN7452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gnatelim</w:t>
      </w:r>
      <w:bookmarkEnd w:id="9"/>
      <w:proofErr w:type="spellEnd"/>
    </w:p>
    <w:p w14:paraId="623EC8D8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gnatelim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sirve para detectar y eliminar subprogramas sin usar en una partición Ada.</w:t>
      </w:r>
    </w:p>
    <w:p w14:paraId="1DAC03E7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AEN7457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gnatfind</w:t>
      </w:r>
      <w:bookmarkEnd w:id="10"/>
      <w:proofErr w:type="spellEnd"/>
    </w:p>
    <w:p w14:paraId="6B1E6AF0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gnatfind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buscador de definiciones/usos de GNAT.</w:t>
      </w:r>
    </w:p>
    <w:p w14:paraId="08F977F8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AEN7463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gnatgcc</w:t>
      </w:r>
      <w:bookmarkEnd w:id="11"/>
      <w:proofErr w:type="spellEnd"/>
    </w:p>
    <w:p w14:paraId="657C2575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gnatgcc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compilador.</w:t>
      </w:r>
    </w:p>
    <w:p w14:paraId="66B5D477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AEN7467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gnathtml.pl</w:t>
      </w:r>
      <w:bookmarkEnd w:id="12"/>
    </w:p>
    <w:p w14:paraId="68A4C6B3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gnathtml.pl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 convierte ficheros de código Ada a HTML para visualizarlos con navegadores Web.</w:t>
      </w:r>
    </w:p>
    <w:p w14:paraId="1467A955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AEN7473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gnatkr</w:t>
      </w:r>
      <w:bookmarkEnd w:id="13"/>
      <w:proofErr w:type="spellEnd"/>
    </w:p>
    <w:p w14:paraId="67D7CF5C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gnatkr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sirve para determinar el nombre truncado de un fichero dado, cuando se trunca a un largo máximo especificado.</w:t>
      </w:r>
    </w:p>
    <w:p w14:paraId="5D3AE013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AEN7477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gnatlink</w:t>
      </w:r>
      <w:bookmarkEnd w:id="14"/>
      <w:proofErr w:type="spellEnd"/>
    </w:p>
    <w:p w14:paraId="36B3291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gnatlink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se usa para enlazar programas y construir un ejecutable.</w:t>
      </w:r>
    </w:p>
    <w:p w14:paraId="123B6E29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AEN7481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gnatls</w:t>
      </w:r>
      <w:bookmarkEnd w:id="15"/>
      <w:proofErr w:type="spellEnd"/>
    </w:p>
    <w:p w14:paraId="0CFDCD79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gnatls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navegador de unidades compiladas.</w:t>
      </w:r>
    </w:p>
    <w:p w14:paraId="7FC065BB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AEN7485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gnatemake</w:t>
      </w:r>
      <w:bookmarkEnd w:id="16"/>
      <w:proofErr w:type="spellEnd"/>
    </w:p>
    <w:p w14:paraId="130BC1C7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gnatmake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 es una utilidad automática para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make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15B919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AEN7489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gnatmem</w:t>
      </w:r>
      <w:bookmarkEnd w:id="17"/>
      <w:proofErr w:type="spellEnd"/>
    </w:p>
    <w:p w14:paraId="6D6ACAB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gnatmem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 es la utilidad GNAT que supervisa la actividad de asignación y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desasignación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dinámica de un programa.</w:t>
      </w:r>
    </w:p>
    <w:p w14:paraId="34EF0DF8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AEN7495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gnatprep</w:t>
      </w:r>
      <w:bookmarkEnd w:id="18"/>
      <w:proofErr w:type="spellEnd"/>
    </w:p>
    <w:p w14:paraId="51F7ADF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gnatprep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preprocesador externo de GNAT.</w:t>
      </w:r>
    </w:p>
    <w:p w14:paraId="25D9085D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AEN7501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gnatpsta</w:t>
      </w:r>
      <w:bookmarkEnd w:id="19"/>
      <w:proofErr w:type="spellEnd"/>
    </w:p>
    <w:p w14:paraId="12229D66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gnatpsta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determina los valores de todos los parámetros relevantes en Standard y los muestra por la salida estándar.</w:t>
      </w:r>
    </w:p>
    <w:p w14:paraId="54FCFBB7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AEN7505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gnatpsys</w:t>
      </w:r>
      <w:bookmarkEnd w:id="20"/>
      <w:proofErr w:type="spellEnd"/>
    </w:p>
    <w:p w14:paraId="08517506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gnatpsys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 determina los valores de todos los parámetros relevantes en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System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y los muestra por la salida estándar.</w:t>
      </w:r>
    </w:p>
    <w:p w14:paraId="38031CFB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AEN7509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gnatstub</w:t>
      </w:r>
      <w:bookmarkEnd w:id="21"/>
      <w:proofErr w:type="spellEnd"/>
    </w:p>
    <w:p w14:paraId="6A7B8CB1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gnatstub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un generador de cabos de cuerpo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stubs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0D15565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AEN7513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gnatxref</w:t>
      </w:r>
      <w:bookmarkEnd w:id="22"/>
      <w:proofErr w:type="spellEnd"/>
    </w:p>
    <w:p w14:paraId="19C5B72B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gnatxref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 es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referenciador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cruzado de GNAT.</w:t>
      </w:r>
    </w:p>
    <w:p w14:paraId="5110BE4B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AEN7519"/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gvd</w:t>
      </w:r>
      <w:bookmarkEnd w:id="23"/>
      <w:proofErr w:type="spellEnd"/>
    </w:p>
    <w:p w14:paraId="0A611CA4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gvd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 es el Depurador Visual GNU.</w:t>
      </w:r>
    </w:p>
    <w:p w14:paraId="4A94677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5125C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>Comandos básicos GDB</w:t>
      </w:r>
    </w:p>
    <w:p w14:paraId="56241BD0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4BDB72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Compilar programas en C con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opcion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-g</w:t>
      </w:r>
    </w:p>
    <w:p w14:paraId="732E78E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E23E77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%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gcc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-g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prog.c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... -o &lt;archivo binario&gt;</w:t>
      </w:r>
    </w:p>
    <w:p w14:paraId="7A834CB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241C59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Si no se especifica -o, se genera el archivo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a.out</w:t>
      </w:r>
      <w:proofErr w:type="spellEnd"/>
    </w:p>
    <w:p w14:paraId="7660379A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644214C4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se invoca con:</w:t>
      </w:r>
    </w:p>
    <w:p w14:paraId="56238CED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&lt;archivo binario&gt;</w:t>
      </w:r>
    </w:p>
    <w:p w14:paraId="2CE2454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Para obtener ayuda:</w:t>
      </w:r>
    </w:p>
    <w:p w14:paraId="7F878A54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help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&lt;comando&gt;</w:t>
      </w:r>
    </w:p>
    <w:p w14:paraId="0DD2AFC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Poner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breakpoint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en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funciones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6AF2BE7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>) b main</w:t>
      </w:r>
    </w:p>
    <w:p w14:paraId="6934345A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Borrar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breakpoints:</w:t>
      </w:r>
    </w:p>
    <w:p w14:paraId="12C94F1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 del &lt;nro. del break&gt;</w:t>
      </w:r>
    </w:p>
    <w:p w14:paraId="4FEB080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9EFD7C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6F3FD6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Mostrar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nros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de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breakpoints</w:t>
      </w:r>
      <w:proofErr w:type="spellEnd"/>
    </w:p>
    <w:p w14:paraId="72F0BAA6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info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break</w:t>
      </w:r>
    </w:p>
    <w:p w14:paraId="18355E34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Correr el programa:</w:t>
      </w:r>
    </w:p>
    <w:p w14:paraId="526BB9F2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 run</w:t>
      </w:r>
    </w:p>
    <w:p w14:paraId="09C95694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Ver el encadenamiento de funciones de la tarea actual (la que le tiene la CPU en ese momento):</w:t>
      </w:r>
    </w:p>
    <w:p w14:paraId="0C0B213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</w:p>
    <w:p w14:paraId="22051BD6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subir y bajar en la pila para ver variables de funciones intermedias:</w:t>
      </w:r>
    </w:p>
    <w:p w14:paraId="39099BB6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 up    -&gt; Si F llamo a G y estamos en G, pasa a F</w:t>
      </w:r>
    </w:p>
    <w:p w14:paraId="40A76D15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</w:rPr>
        <w:t>down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-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>&gt; vuelve a G</w:t>
      </w:r>
    </w:p>
    <w:p w14:paraId="7210A1E8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Especifico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para programas en C:</w:t>
      </w:r>
    </w:p>
    <w:p w14:paraId="032034F9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Ejecutar paso a paso instrucciones en C (step y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next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059CF952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2156F7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s  -</w:t>
      </w:r>
      <w:proofErr w:type="gram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&gt; 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ejecuta una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.  Si hay una llamada a una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3B632827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            se detiene en la primera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de esa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0846B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n  -</w:t>
      </w:r>
      <w:proofErr w:type="gram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ejecuta una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</w:rPr>
        <w:t>Si  hay</w:t>
      </w:r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llamadas a funciones, se</w:t>
      </w:r>
    </w:p>
    <w:p w14:paraId="668EDA69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            las ejecuta completamente sin detenerse.</w:t>
      </w:r>
    </w:p>
    <w:p w14:paraId="115DE3DC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</w:p>
    <w:p w14:paraId="59FB301C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Imprimir valores de expresiones</w:t>
      </w:r>
    </w:p>
    <w:p w14:paraId="14717D10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) p x-&gt;</w:t>
      </w:r>
      <w:proofErr w:type="spellStart"/>
      <w:proofErr w:type="gram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a.d</w:t>
      </w:r>
      <w:proofErr w:type="spellEnd"/>
      <w:proofErr w:type="gram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+ 1  ( p de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print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)</w:t>
      </w:r>
    </w:p>
    <w:p w14:paraId="60D78EF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- Imprimir las variables locales de la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examinada:</w:t>
      </w:r>
    </w:p>
    <w:p w14:paraId="4893ECB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info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locals</w:t>
      </w:r>
      <w:proofErr w:type="spellEnd"/>
    </w:p>
    <w:p w14:paraId="6DEC627F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8B895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Especifico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para programas en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Assembler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41FA08D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5EF692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- Ejecutar paso a paso instrucciones de maquina:</w:t>
      </w:r>
    </w:p>
    <w:p w14:paraId="12262578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782BC2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(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stepi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-&gt;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ejecuta una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maquina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33900A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>nexti</w:t>
      </w:r>
      <w:proofErr w:type="spellEnd"/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-&gt;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si es un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call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, ejecuta el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call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hasta el retorno,</w:t>
      </w:r>
    </w:p>
    <w:p w14:paraId="1A298BF4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               si no, ejecuta una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maquina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6EACB95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90F8F5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Ambas instrucciones muestran la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direccion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de la siguiente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</w:p>
    <w:p w14:paraId="2CABA31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a ejecutar en hexadecimal.  Ej.:</w:t>
      </w:r>
    </w:p>
    <w:p w14:paraId="4F9BE219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3DBCE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) 0x080483d4 in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dump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()</w:t>
      </w:r>
    </w:p>
    <w:p w14:paraId="1D842835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0747A0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- Para mostrar 10 instrucciones de maquina a partir de una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direccion</w:t>
      </w:r>
      <w:proofErr w:type="spellEnd"/>
    </w:p>
    <w:p w14:paraId="1C53C52E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en hexadecimal:</w:t>
      </w:r>
    </w:p>
    <w:p w14:paraId="54C03985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6B8BEA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 x/10i 0x080483d2</w:t>
      </w:r>
    </w:p>
    <w:p w14:paraId="51E37FBA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0x80483d2 &lt;dump+6&gt;:    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mov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%</w:t>
      </w:r>
      <w:proofErr w:type="spellStart"/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</w:rPr>
        <w:t>ebp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,%</w:t>
      </w:r>
      <w:proofErr w:type="spellStart"/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</w:rPr>
        <w:t>eax</w:t>
      </w:r>
      <w:proofErr w:type="spellEnd"/>
    </w:p>
    <w:p w14:paraId="1FA7D5D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0x80483d4 &lt;dump+8&gt;:    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mov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%eax,0xfffffffc(%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ebp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4C2853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>0x80483d7 &lt;dump+11&gt;:    mov    0xfffffffc(%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>ebp</w:t>
      </w:r>
      <w:proofErr w:type="spellEnd"/>
      <w:proofErr w:type="gramStart"/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>),%</w:t>
      </w:r>
      <w:proofErr w:type="spellStart"/>
      <w:proofErr w:type="gramEnd"/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>eax</w:t>
      </w:r>
      <w:proofErr w:type="spellEnd"/>
    </w:p>
    <w:p w14:paraId="357CB9F0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F5FFD0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- Para mostrar el contenido de los registros</w:t>
      </w:r>
    </w:p>
    <w:p w14:paraId="546376F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D71E73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info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register</w:t>
      </w:r>
      <w:proofErr w:type="spellEnd"/>
    </w:p>
    <w:p w14:paraId="05B7D0E9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637C8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- Para mostrar el contenido a partir de una </w:t>
      </w:r>
      <w:r w:rsidR="00CF61D0" w:rsidRPr="0012708F">
        <w:rPr>
          <w:rFonts w:ascii="Arial" w:hAnsi="Arial" w:cs="Arial"/>
          <w:color w:val="000000" w:themeColor="text1"/>
          <w:sz w:val="24"/>
          <w:szCs w:val="24"/>
        </w:rPr>
        <w:t>dirección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en hexadecimal:</w:t>
      </w:r>
    </w:p>
    <w:p w14:paraId="7026FC3F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A80230" w14:textId="279D2BC4" w:rsidR="00D54447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color w:val="000000" w:themeColor="text1"/>
          <w:sz w:val="24"/>
          <w:szCs w:val="24"/>
        </w:rPr>
        <w:t xml:space="preserve">    (</w:t>
      </w: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) x/10x 0xbffff5c8</w:t>
      </w:r>
    </w:p>
    <w:p w14:paraId="5C3DA310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Etapas de compilación.</w:t>
      </w:r>
    </w:p>
    <w:p w14:paraId="43A58FE7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El proceso de compilación involucra cuatro etapas sucesivas: preprocesamiento, compilación, ensamblado y enlazado. Para pasar de un programa fuente escrito por un humano a un archivo ejecutable es necesario realizar estas cuatro etapas en forma sucesiva. Los comandos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gcc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y g++ son capaces de realizar todo el proceso de una sola vez.</w:t>
      </w:r>
    </w:p>
    <w:p w14:paraId="418E6AC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1. Reprocesado.</w:t>
      </w:r>
    </w:p>
    <w:p w14:paraId="0FA26627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En esta etapa se interpretan las directivas al preprocesador. Entre otras cosas, las variables inicializadas con #define son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sustituídas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en el código por su valor en todos los lugares donde aparece su nombre.</w:t>
      </w:r>
    </w:p>
    <w:p w14:paraId="64359931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Usaremos como ejemplo este sencillo programa de prueba,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circulo.c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742E163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/*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Circulo.c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: calcula el área de un círculo.</w:t>
      </w:r>
    </w:p>
    <w:p w14:paraId="5BCD8514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 Ejemplo para mostrar etapas de compilación.</w:t>
      </w:r>
    </w:p>
    <w:p w14:paraId="767742AE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*/</w:t>
      </w:r>
    </w:p>
    <w:p w14:paraId="5845F50F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#define PI 3.1416</w:t>
      </w:r>
    </w:p>
    <w:p w14:paraId="0ED7375D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main(</w:t>
      </w:r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173A860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14:paraId="7D0F508D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float area, radio;</w:t>
      </w:r>
    </w:p>
    <w:p w14:paraId="4F921DCB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38DD63B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radio = 10;</w:t>
      </w:r>
    </w:p>
    <w:p w14:paraId="636054F9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area = PI * (radio * radio);</w:t>
      </w:r>
    </w:p>
    <w:p w14:paraId="01A8AF80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("Circulo.\n");</w:t>
      </w:r>
    </w:p>
    <w:p w14:paraId="3F616936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</w:rPr>
        <w:t>"%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s%f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\n\n", "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Area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de circulo radio 10: ",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area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70E20CD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0D11CC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47070DC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Los comandos básicos GDB</w:t>
      </w:r>
    </w:p>
    <w:p w14:paraId="78A69923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Compilar programas en C con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opcion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-g</w:t>
      </w:r>
    </w:p>
    <w:p w14:paraId="2A4DBF2A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%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gcc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-g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prog.c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... -o &lt;archivo binario&gt;</w:t>
      </w:r>
    </w:p>
    <w:p w14:paraId="03AB7405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Si no se especifica -o, se genera el archivo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a.out</w:t>
      </w:r>
      <w:proofErr w:type="spellEnd"/>
    </w:p>
    <w:p w14:paraId="638E9B69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se invoca con:</w:t>
      </w:r>
    </w:p>
    <w:p w14:paraId="70ED02CD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&lt;archivo binario&gt;</w:t>
      </w:r>
    </w:p>
    <w:p w14:paraId="4F9175BF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Para obtener ayuda:</w:t>
      </w:r>
    </w:p>
    <w:p w14:paraId="1A5F0338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help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&lt;comando&gt;</w:t>
      </w:r>
    </w:p>
    <w:p w14:paraId="4A0B4539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Poner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breakpoint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en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funciones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2D6B794B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) b main</w:t>
      </w:r>
    </w:p>
    <w:p w14:paraId="0F190711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>Borrar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breakpoints:</w:t>
      </w:r>
    </w:p>
    <w:p w14:paraId="4E30E254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E730F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) del &lt;nro. del break&gt;</w:t>
      </w:r>
    </w:p>
    <w:p w14:paraId="44679179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Mostrar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nros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. de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breakpoints</w:t>
      </w:r>
      <w:proofErr w:type="spellEnd"/>
    </w:p>
    <w:p w14:paraId="5444AA7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info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break</w:t>
      </w:r>
    </w:p>
    <w:p w14:paraId="694BA8EF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Correr el programa:</w:t>
      </w:r>
    </w:p>
    <w:p w14:paraId="169CCAA5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) run</w:t>
      </w:r>
    </w:p>
    <w:p w14:paraId="1816CC0C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Ver el encadenamiento de funciones de la tarea actual</w:t>
      </w:r>
    </w:p>
    <w:p w14:paraId="3D9EB35D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(la que le tiene la CPU en ese momento):</w:t>
      </w:r>
    </w:p>
    <w:p w14:paraId="0C53C9CF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</w:p>
    <w:p w14:paraId="0571C79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subir y bajar en la pila para ver variables de funciones intermedias:</w:t>
      </w:r>
    </w:p>
    <w:p w14:paraId="7901D67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) up    -&gt; Si F llamo a G y estamos en G, pasa a F</w:t>
      </w:r>
    </w:p>
    <w:p w14:paraId="568CCC46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</w:rPr>
        <w:t>down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-</w:t>
      </w:r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</w:rPr>
        <w:t>&gt; vuelve a G</w:t>
      </w:r>
    </w:p>
    <w:p w14:paraId="728572D1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Especifico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para programas en C:</w:t>
      </w:r>
    </w:p>
    <w:p w14:paraId="0492B085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8A83B6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- Ejecutar paso a paso instrucciones en C (step y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next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):</w:t>
      </w:r>
    </w:p>
    <w:p w14:paraId="7EEB82BA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</w:rPr>
        <w:t>s  -</w:t>
      </w:r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&gt; ejecuta una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.  Si hay una llamada a una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2C0320D1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              se detiene en la primera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de esa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0EC686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</w:rPr>
        <w:t>n  -</w:t>
      </w:r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&gt; ejecuta una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</w:rPr>
        <w:t>Si  hay</w:t>
      </w:r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llamadas a funciones, se</w:t>
      </w:r>
    </w:p>
    <w:p w14:paraId="44E2B8EE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              las ejecuta completamente sin detenerse.</w:t>
      </w:r>
    </w:p>
    <w:p w14:paraId="48DD496B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Imprimir valores de expresiones</w:t>
      </w:r>
    </w:p>
    <w:p w14:paraId="6C56683B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) p x-&gt;</w:t>
      </w:r>
      <w:proofErr w:type="spellStart"/>
      <w:proofErr w:type="gramStart"/>
      <w:r w:rsidRPr="00E730F0">
        <w:rPr>
          <w:rFonts w:ascii="Arial" w:hAnsi="Arial" w:cs="Arial"/>
          <w:color w:val="000000" w:themeColor="text1"/>
          <w:sz w:val="24"/>
          <w:szCs w:val="24"/>
        </w:rPr>
        <w:t>a.d</w:t>
      </w:r>
      <w:proofErr w:type="spellEnd"/>
      <w:proofErr w:type="gram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+ 1  ( p de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49E9A1E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Imprimir las variables locales de la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examinada:</w:t>
      </w:r>
    </w:p>
    <w:p w14:paraId="22F43E15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info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locals</w:t>
      </w:r>
      <w:proofErr w:type="spellEnd"/>
    </w:p>
    <w:p w14:paraId="0EFE8373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Especifico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para programas en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Assembler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50581C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Ejecutar paso a paso instrucciones de maquina:</w:t>
      </w:r>
    </w:p>
    <w:p w14:paraId="4F4FC50B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stepi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-&gt; ejecuta una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maquina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472178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(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gdb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nexti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-&gt; si es un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call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, ejecuta el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call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hasta el retorno,</w:t>
      </w:r>
    </w:p>
    <w:p w14:paraId="3DDBD6B4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                 si no, ejecuta una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instruccion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E730F0">
        <w:rPr>
          <w:rFonts w:ascii="Arial" w:hAnsi="Arial" w:cs="Arial"/>
          <w:color w:val="000000" w:themeColor="text1"/>
          <w:sz w:val="24"/>
          <w:szCs w:val="24"/>
        </w:rPr>
        <w:t>maquina</w:t>
      </w:r>
      <w:proofErr w:type="spellEnd"/>
      <w:r w:rsidRPr="00E730F0">
        <w:rPr>
          <w:rFonts w:ascii="Arial" w:hAnsi="Arial" w:cs="Arial"/>
          <w:color w:val="000000" w:themeColor="text1"/>
          <w:sz w:val="24"/>
          <w:szCs w:val="24"/>
        </w:rPr>
        <w:t>.7777777777777777777777777</w:t>
      </w:r>
    </w:p>
    <w:p w14:paraId="2268A44F" w14:textId="33B0177F" w:rsidR="00D54447" w:rsidRPr="0012708F" w:rsidRDefault="00E730F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bookmarkStart w:id="24" w:name="_GoBack"/>
      <w:bookmarkEnd w:id="24"/>
    </w:p>
    <w:p w14:paraId="23743F5F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708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Conclusión: </w:t>
      </w:r>
      <w:r w:rsidRPr="0012708F">
        <w:rPr>
          <w:rFonts w:ascii="Arial" w:hAnsi="Arial" w:cs="Arial"/>
          <w:color w:val="000000" w:themeColor="text1"/>
          <w:sz w:val="24"/>
          <w:szCs w:val="24"/>
        </w:rPr>
        <w:t>en esta investigación se pudo concluir que estos compiladores</w:t>
      </w:r>
      <w:r w:rsidR="00CF61D0" w:rsidRPr="0012708F">
        <w:rPr>
          <w:rFonts w:ascii="Arial" w:hAnsi="Arial" w:cs="Arial"/>
          <w:color w:val="000000" w:themeColor="text1"/>
          <w:sz w:val="24"/>
          <w:szCs w:val="24"/>
        </w:rPr>
        <w:t xml:space="preserve"> son de gran ayuda para poder leer códigos de distintos tipos para hacer varias tareas las cuales ayudan a la elaboración de trabajos y programaciones para controlar los periféricos que se deseen</w:t>
      </w:r>
    </w:p>
    <w:p w14:paraId="3DAFDCBB" w14:textId="77777777" w:rsidR="00CF61D0" w:rsidRPr="0012708F" w:rsidRDefault="00CF61D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B3B4C6" w14:textId="77777777" w:rsidR="00CF61D0" w:rsidRPr="0012708F" w:rsidRDefault="00CF61D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708F">
        <w:rPr>
          <w:rFonts w:ascii="Arial" w:hAnsi="Arial" w:cs="Arial"/>
          <w:color w:val="000000" w:themeColor="text1"/>
          <w:sz w:val="24"/>
          <w:szCs w:val="24"/>
        </w:rPr>
        <w:t>Bibliografias</w:t>
      </w:r>
      <w:proofErr w:type="spellEnd"/>
      <w:r w:rsidRPr="0012708F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F2AC44D" w14:textId="77777777" w:rsidR="00CF61D0" w:rsidRPr="0012708F" w:rsidRDefault="00E730F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CF61D0" w:rsidRPr="0012708F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https://users.dcc.uchile.cl/~lmateu/CC41C/gdb.txt</w:t>
        </w:r>
      </w:hyperlink>
    </w:p>
    <w:p w14:paraId="56B9BCE6" w14:textId="77777777" w:rsidR="00CF61D0" w:rsidRPr="0012708F" w:rsidRDefault="00E730F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CF61D0" w:rsidRPr="0012708F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https://lihuen.linti.unlp.edu.ar/index.php/C%C3%B3mo_usar_GDB</w:t>
        </w:r>
      </w:hyperlink>
    </w:p>
    <w:p w14:paraId="2E90B85F" w14:textId="77777777" w:rsidR="00CF61D0" w:rsidRPr="0012708F" w:rsidRDefault="00E730F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CF61D0" w:rsidRPr="0012708F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http://www.nongnu.org/gccintro-es/gccintro.es.html</w:t>
        </w:r>
      </w:hyperlink>
    </w:p>
    <w:p w14:paraId="00FDCECF" w14:textId="40C786B2" w:rsidR="00CF61D0" w:rsidRDefault="00E730F0" w:rsidP="0012708F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CF61D0" w:rsidRPr="0012708F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https://gcc.gnu.org/</w:t>
        </w:r>
      </w:hyperlink>
    </w:p>
    <w:p w14:paraId="7C299CB2" w14:textId="77777777" w:rsidR="00E730F0" w:rsidRPr="00E730F0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https://iie.fing.edu.uy/~vagonbar/gcc-make/gcc.htm</w:t>
      </w:r>
    </w:p>
    <w:p w14:paraId="720E8FD0" w14:textId="77777777" w:rsidR="00E730F0" w:rsidRPr="0012708F" w:rsidRDefault="00E730F0" w:rsidP="00E730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0F0">
        <w:rPr>
          <w:rFonts w:ascii="Arial" w:hAnsi="Arial" w:cs="Arial"/>
          <w:color w:val="000000" w:themeColor="text1"/>
          <w:sz w:val="24"/>
          <w:szCs w:val="24"/>
        </w:rPr>
        <w:t>https://lihuen.linti.unlp.edu.ar/index.php/C%C3%B3mo_usar_GDB</w:t>
      </w:r>
    </w:p>
    <w:p w14:paraId="41873C85" w14:textId="77777777" w:rsidR="00E730F0" w:rsidRPr="0012708F" w:rsidRDefault="00E730F0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39AD1" w14:textId="77777777" w:rsidR="00D54447" w:rsidRPr="0012708F" w:rsidRDefault="00D54447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86FF92" w14:textId="77777777" w:rsidR="005B6F8D" w:rsidRPr="0012708F" w:rsidRDefault="005B6F8D" w:rsidP="0012708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5B6F8D" w:rsidRPr="0012708F" w:rsidSect="0012708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8"/>
    <w:rsid w:val="0012708F"/>
    <w:rsid w:val="005B6F8D"/>
    <w:rsid w:val="00AD6908"/>
    <w:rsid w:val="00CF61D0"/>
    <w:rsid w:val="00D54447"/>
    <w:rsid w:val="00E730F0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2A04"/>
  <w15:chartTrackingRefBased/>
  <w15:docId w15:val="{54E66D45-B67A-4E9A-B695-C6C9E8DB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61D0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2708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708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ngnu.org/gccintro-es/gccintro.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huen.linti.unlp.edu.ar/index.php/C%C3%B3mo_usar_G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s.dcc.uchile.cl/~lmateu/CC41C/gdb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cc.gnu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1514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GCC y GDB</dc:title>
  <dc:subject>Ingeniería mecatrónica</dc:subject>
  <dc:creator>Ivan Alejandro Pasillas Gonzalez</dc:creator>
  <cp:keywords/>
  <dc:description/>
  <cp:lastModifiedBy>Ivan Alejandro Pasillas Gonzalez</cp:lastModifiedBy>
  <cp:revision>3</cp:revision>
  <dcterms:created xsi:type="dcterms:W3CDTF">2020-03-20T00:37:00Z</dcterms:created>
  <dcterms:modified xsi:type="dcterms:W3CDTF">2020-04-02T20:20:00Z</dcterms:modified>
</cp:coreProperties>
</file>