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Methodology: Adaptive Data Mesh Governance Using ADGRI</w:t>
      </w:r>
    </w:p>
    <w:p>
      <w:pPr>
        <w:pStyle w:val="Heading2"/>
      </w:pPr>
      <w:r>
        <w:t>Overview</w:t>
      </w:r>
    </w:p>
    <w:p>
      <w:r>
        <w:t>This study implements an adaptive governance-scoring framework for Data Mesh domains using ADGRI (Adaptive Domain Governance Reliability Index). Governance is evaluated per domain across volume, freshness, and distribution instability under batch governance cycles.</w:t>
      </w:r>
    </w:p>
    <w:p>
      <w:pPr>
        <w:pStyle w:val="Heading2"/>
      </w:pPr>
      <w:r>
        <w:t>1) Domain Dataset Construction</w:t>
      </w:r>
    </w:p>
    <w:p>
      <w:r>
        <w:t>Silver-layer CSV datasets are mapped and copied into domain-specific Data Mesh output folders by a reload pipeline. Each run logs run_id, rows_processed, status, and execution timing. Domain outputs are persisted as per-domain CSV files.</w:t>
      </w:r>
    </w:p>
    <w:p>
      <w:pPr>
        <w:pStyle w:val="Heading2"/>
      </w:pPr>
      <w:r>
        <w:t>2) Governance Data Inputs</w:t>
      </w:r>
    </w:p>
    <w:p>
      <w:r>
        <w:t>Governance uses domain CSV outputs, monitoring history (domain_health_history.csv), pipeline execution logs (pipeline_log.json), and file metadata fallback for temporal inference. Key fields include domain_name, row_count, timestamp, freshness_hours, rows_processed, and status.</w:t>
      </w:r>
    </w:p>
    <w:p>
      <w:pPr>
        <w:pStyle w:val="Heading2"/>
      </w:pPr>
      <w:r>
        <w:t>3) Volume Stability Modeling</w:t>
      </w:r>
    </w:p>
    <w:p>
      <w:r>
        <w:t>Volume deviation is computed from latest row count against rolling baseline: z_v = |x_latest - mu_v| / sigma_v, with a safe denominator fallback when sigma_v is near zero.</w:t>
      </w:r>
    </w:p>
    <w:p>
      <w:pPr>
        <w:pStyle w:val="Heading2"/>
      </w:pPr>
      <w:r>
        <w:t>4) Freshness Stability Modeling</w:t>
      </w:r>
    </w:p>
    <w:p>
      <w:r>
        <w:t>Freshness lag is primarily based on business-date recency: L_f = max(0, (t_eval - t_latest_business)/3600). If business-date context is insufficient, refresh-interval and file-age fallbacks are used.</w:t>
      </w:r>
    </w:p>
    <w:p>
      <w:pPr>
        <w:pStyle w:val="Heading2"/>
      </w:pPr>
      <w:r>
        <w:t>5) Distribution Stability Modeling</w:t>
      </w:r>
    </w:p>
    <w:p>
      <w:r>
        <w:t>Date-qualified numeric (non-ID) columns are aggregated into daily mean/variance feature vectors. Drift is computed using per-feature z-scores and aggregated as z_d = sqrt((1/k) * sum(z_i^2)).</w:t>
      </w:r>
    </w:p>
    <w:p>
      <w:pPr>
        <w:pStyle w:val="Heading2"/>
      </w:pPr>
      <w:r>
        <w:t>6) Deviation-to-Risk Transformation</w:t>
      </w:r>
    </w:p>
    <w:p>
      <w:r>
        <w:t>For each factor i in {v, f, d}, risk is mapped as r_i = erf(max(0, z_i)/sqrt(2)), producing bounded risk in [0,1].</w:t>
      </w:r>
    </w:p>
    <w:p>
      <w:pPr>
        <w:pStyle w:val="Heading2"/>
      </w:pPr>
      <w:r>
        <w:t>7) Confidence Estimation</w:t>
      </w:r>
    </w:p>
    <w:p>
      <w:r>
        <w:t>Confidence is computed as c_i = clip_[0,1]((log(1+n_i)/log(1+W)) * (1/(1+variability_i))), where n_i is effective baseline sample size and W is rolling window size.</w:t>
      </w:r>
    </w:p>
    <w:p>
      <w:pPr>
        <w:pStyle w:val="Heading2"/>
      </w:pPr>
      <w:r>
        <w:t>8) Dynamic Confidence-Aware Weighting</w:t>
      </w:r>
    </w:p>
    <w:p>
      <w:r>
        <w:t>Weights are confidence-normalized: w_i = c_i / (c_v + c_f + c_d), with numerical flooring for stability.</w:t>
      </w:r>
    </w:p>
    <w:p>
      <w:pPr>
        <w:pStyle w:val="Heading2"/>
      </w:pPr>
      <w:r>
        <w:t>9) ADGRI Formulation</w:t>
      </w:r>
    </w:p>
    <w:p>
      <w:r>
        <w:t>R_adgri = w_v*r_v + w_f*r_f + w_d*r_d; ADGRI = 100 * (1 - R_adgri). Final score range is [0,100], where higher is better governance reliability.</w:t>
      </w:r>
    </w:p>
    <w:p>
      <w:pPr>
        <w:pStyle w:val="Heading2"/>
      </w:pPr>
      <w:r>
        <w:t>10) Trend and Explanation Layer</w:t>
      </w:r>
    </w:p>
    <w:p>
      <w:r>
        <w:t>The system computes governance trend over recent refresh cycles, classifies direction (improving/stable/deteriorating), and provides contribution-based top-cause explanations.</w:t>
      </w:r>
    </w:p>
    <w:p>
      <w:pPr>
        <w:pStyle w:val="Heading2"/>
      </w:pPr>
      <w:r>
        <w:t>11) Operational Integration and Triggers</w:t>
      </w:r>
    </w:p>
    <w:p>
      <w:r>
        <w:t>Governance recomputation occurs after pipeline refresh operations and in controlled admin workflows (scenario run, restore, correction, rerun). The engine fuses latest domain state + history + logs.</w:t>
      </w:r>
    </w:p>
    <w:p>
      <w:pPr>
        <w:pStyle w:val="Heading2"/>
      </w:pPr>
      <w:r>
        <w:t>12) System Outputs</w:t>
      </w:r>
    </w:p>
    <w:p>
      <w:r>
        <w:t>Outputs include per-domain ADGRI, weighted risk, confidence, trend, contribution breakdown, cross-domain ranking, prioritization recommendations, and pipeline health alerts.</w:t>
      </w:r>
    </w:p>
    <w:p>
      <w:pPr>
        <w:pStyle w:val="Heading2"/>
      </w:pPr>
      <w:r>
        <w:t>13) Control and Experimental Validation</w:t>
      </w:r>
    </w:p>
    <w:p>
      <w:r>
        <w:t>Controlled validation injects prepared/uploaded test datasets into Silver targets, triggers rerun, recomputes governance, and compares before/after ADGRI and factor-level risk deltas.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