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15" w:rsidRPr="00935A15" w:rsidRDefault="00935A15" w:rsidP="00935A15">
      <w:pPr>
        <w:spacing w:after="0" w:line="276" w:lineRule="auto"/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935A15">
        <w:rPr>
          <w:rFonts w:cstheme="minorHAnsi"/>
          <w:b/>
          <w:color w:val="121212"/>
          <w:sz w:val="24"/>
          <w:szCs w:val="24"/>
          <w:shd w:val="clear" w:color="auto" w:fill="FFFFFF"/>
        </w:rPr>
        <w:t>Alfred Austin (1835-1913)</w:t>
      </w:r>
    </w:p>
    <w:p w:rsidR="00935A15" w:rsidRDefault="00935A15" w:rsidP="001B1ECE">
      <w:pPr>
        <w:spacing w:after="0" w:line="276" w:lineRule="auto"/>
        <w:ind w:firstLine="720"/>
        <w:rPr>
          <w:rFonts w:cstheme="minorHAnsi"/>
          <w:color w:val="121212"/>
          <w:sz w:val="24"/>
          <w:szCs w:val="24"/>
          <w:shd w:val="clear" w:color="auto" w:fill="FFFFFF"/>
        </w:rPr>
      </w:pPr>
    </w:p>
    <w:p w:rsidR="00390310" w:rsidRPr="00FF5C45" w:rsidRDefault="00390310" w:rsidP="001B1ECE">
      <w:pPr>
        <w:spacing w:after="0" w:line="276" w:lineRule="auto"/>
        <w:ind w:firstLine="720"/>
        <w:rPr>
          <w:rFonts w:cstheme="minorHAnsi"/>
          <w:color w:val="121212"/>
          <w:sz w:val="24"/>
          <w:szCs w:val="24"/>
          <w:shd w:val="clear" w:color="auto" w:fill="FFFFFF"/>
        </w:rPr>
      </w:pPr>
      <w:r w:rsidRPr="00FF5C45">
        <w:rPr>
          <w:rFonts w:cstheme="minorHAnsi"/>
          <w:color w:val="121212"/>
          <w:sz w:val="24"/>
          <w:szCs w:val="24"/>
          <w:shd w:val="clear" w:color="auto" w:fill="FFFFFF"/>
        </w:rPr>
        <w:t>‘</w:t>
      </w:r>
      <w:r w:rsidRPr="00FF5C45">
        <w:rPr>
          <w:rFonts w:cstheme="minorHAnsi"/>
          <w:color w:val="121212"/>
          <w:sz w:val="24"/>
          <w:szCs w:val="24"/>
          <w:shd w:val="clear" w:color="auto" w:fill="FFFFFF"/>
        </w:rPr>
        <w:t>Across the wires the electric message came</w:t>
      </w:r>
      <w:r w:rsidRPr="00FF5C45">
        <w:rPr>
          <w:rFonts w:cstheme="minorHAnsi"/>
          <w:color w:val="121212"/>
          <w:sz w:val="24"/>
          <w:szCs w:val="24"/>
          <w:shd w:val="clear" w:color="auto" w:fill="FFFFFF"/>
        </w:rPr>
        <w:t xml:space="preserve"> </w:t>
      </w:r>
    </w:p>
    <w:p w:rsidR="001157FD" w:rsidRPr="00FF5C45" w:rsidRDefault="00390310" w:rsidP="001B1ECE">
      <w:pPr>
        <w:spacing w:after="0" w:line="276" w:lineRule="auto"/>
        <w:ind w:firstLine="720"/>
        <w:rPr>
          <w:rFonts w:cstheme="minorHAnsi"/>
          <w:color w:val="121212"/>
          <w:sz w:val="24"/>
          <w:szCs w:val="24"/>
          <w:shd w:val="clear" w:color="auto" w:fill="FFFFFF"/>
        </w:rPr>
      </w:pPr>
      <w:r w:rsidRPr="00FF5C45">
        <w:rPr>
          <w:rFonts w:cstheme="minorHAnsi"/>
          <w:color w:val="121212"/>
          <w:sz w:val="24"/>
          <w:szCs w:val="24"/>
          <w:shd w:val="clear" w:color="auto" w:fill="FFFFFF"/>
        </w:rPr>
        <w:t>He is no better, he is much the same.</w:t>
      </w:r>
      <w:r w:rsidRPr="00FF5C45">
        <w:rPr>
          <w:rFonts w:cstheme="minorHAnsi"/>
          <w:color w:val="121212"/>
          <w:sz w:val="24"/>
          <w:szCs w:val="24"/>
          <w:shd w:val="clear" w:color="auto" w:fill="FFFFFF"/>
        </w:rPr>
        <w:t>’</w:t>
      </w:r>
    </w:p>
    <w:p w:rsidR="001B1ECE" w:rsidRPr="00FF5C45" w:rsidRDefault="001B1ECE">
      <w:pPr>
        <w:rPr>
          <w:rFonts w:cstheme="minorHAnsi"/>
          <w:sz w:val="24"/>
          <w:szCs w:val="24"/>
        </w:rPr>
      </w:pPr>
    </w:p>
    <w:p w:rsidR="008E7868" w:rsidRPr="00FF5C45" w:rsidRDefault="007474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Ironically t</w:t>
      </w:r>
      <w:r w:rsidR="001B1ECE" w:rsidRPr="00FF5C45">
        <w:rPr>
          <w:rFonts w:cstheme="minorHAnsi"/>
          <w:sz w:val="24"/>
          <w:szCs w:val="24"/>
        </w:rPr>
        <w:t xml:space="preserve">hese abominable lines, describing the illness of Edward VII, </w:t>
      </w:r>
      <w:r>
        <w:rPr>
          <w:rFonts w:cstheme="minorHAnsi"/>
          <w:sz w:val="24"/>
          <w:szCs w:val="24"/>
        </w:rPr>
        <w:t>have proved to be</w:t>
      </w:r>
      <w:r w:rsidR="001B1ECE" w:rsidRPr="00FF5C45">
        <w:rPr>
          <w:rFonts w:cstheme="minorHAnsi"/>
          <w:sz w:val="24"/>
          <w:szCs w:val="24"/>
        </w:rPr>
        <w:t xml:space="preserve"> the</w:t>
      </w:r>
      <w:r>
        <w:rPr>
          <w:rFonts w:cstheme="minorHAnsi"/>
          <w:sz w:val="24"/>
          <w:szCs w:val="24"/>
        </w:rPr>
        <w:t xml:space="preserve"> most enduring </w:t>
      </w:r>
      <w:r w:rsidR="001B1ECE" w:rsidRPr="00FF5C45">
        <w:rPr>
          <w:rFonts w:cstheme="minorHAnsi"/>
          <w:sz w:val="24"/>
          <w:szCs w:val="24"/>
        </w:rPr>
        <w:t>legacy of Poet Laureate Alfred Austin</w:t>
      </w:r>
      <w:r w:rsidR="008E7868" w:rsidRPr="00FF5C45">
        <w:rPr>
          <w:rFonts w:cstheme="minorHAnsi"/>
          <w:sz w:val="24"/>
          <w:szCs w:val="24"/>
        </w:rPr>
        <w:t xml:space="preserve">. </w:t>
      </w:r>
    </w:p>
    <w:p w:rsidR="008E7868" w:rsidRPr="00FF5C45" w:rsidRDefault="008E7868">
      <w:pPr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>As the</w:t>
      </w:r>
      <w:r w:rsidR="001B1ECE" w:rsidRPr="00FF5C45">
        <w:rPr>
          <w:rFonts w:cstheme="minorHAnsi"/>
          <w:sz w:val="24"/>
          <w:szCs w:val="24"/>
        </w:rPr>
        <w:t xml:space="preserve"> successor to Tennyson</w:t>
      </w:r>
      <w:r w:rsidRPr="00FF5C45">
        <w:rPr>
          <w:rFonts w:cstheme="minorHAnsi"/>
          <w:sz w:val="24"/>
          <w:szCs w:val="24"/>
        </w:rPr>
        <w:t xml:space="preserve"> in 1896, Austin already had a lot on his plate</w:t>
      </w:r>
      <w:r w:rsidR="001B1ECE" w:rsidRPr="00FF5C45">
        <w:rPr>
          <w:rFonts w:cstheme="minorHAnsi"/>
          <w:sz w:val="24"/>
          <w:szCs w:val="24"/>
        </w:rPr>
        <w:t xml:space="preserve">. On his appointment </w:t>
      </w:r>
      <w:r w:rsidRPr="00FF5C45">
        <w:rPr>
          <w:rFonts w:cstheme="minorHAnsi"/>
          <w:sz w:val="24"/>
          <w:szCs w:val="24"/>
        </w:rPr>
        <w:t>he was</w:t>
      </w:r>
      <w:r w:rsidR="001B1ECE" w:rsidRPr="00FF5C45">
        <w:rPr>
          <w:rFonts w:cstheme="minorHAnsi"/>
          <w:sz w:val="24"/>
          <w:szCs w:val="24"/>
        </w:rPr>
        <w:t xml:space="preserve"> described by one periodical as ‘</w:t>
      </w:r>
      <w:r w:rsidRPr="00FF5C45">
        <w:rPr>
          <w:rFonts w:cstheme="minorHAnsi"/>
          <w:sz w:val="24"/>
          <w:szCs w:val="24"/>
        </w:rPr>
        <w:t>an English gentleman of culture, dignity, and ability’.</w:t>
      </w:r>
      <w:r w:rsidRPr="00FF5C45">
        <w:rPr>
          <w:rStyle w:val="FootnoteReference"/>
          <w:rFonts w:cstheme="minorHAnsi"/>
          <w:sz w:val="24"/>
          <w:szCs w:val="24"/>
        </w:rPr>
        <w:footnoteReference w:id="1"/>
      </w:r>
      <w:r w:rsidRPr="00FF5C45">
        <w:rPr>
          <w:rFonts w:cstheme="minorHAnsi"/>
          <w:sz w:val="24"/>
          <w:szCs w:val="24"/>
        </w:rPr>
        <w:t xml:space="preserve"> But the critic broke down almost immediately afterwards, warning readers that ‘the higher gifts have been denied’</w:t>
      </w:r>
      <w:r w:rsidRPr="00FF5C45">
        <w:rPr>
          <w:rStyle w:val="FootnoteReference"/>
          <w:rFonts w:cstheme="minorHAnsi"/>
          <w:sz w:val="24"/>
          <w:szCs w:val="24"/>
        </w:rPr>
        <w:footnoteReference w:id="2"/>
      </w:r>
      <w:r w:rsidRPr="00FF5C45">
        <w:rPr>
          <w:rFonts w:cstheme="minorHAnsi"/>
          <w:sz w:val="24"/>
          <w:szCs w:val="24"/>
        </w:rPr>
        <w:t xml:space="preserve"> to him and that he had ‘epic hopes and desire with only a lyric gift of very slender substance.’ It was </w:t>
      </w:r>
      <w:r w:rsidR="005C79C0" w:rsidRPr="00FF5C45">
        <w:rPr>
          <w:rFonts w:cstheme="minorHAnsi"/>
          <w:sz w:val="24"/>
          <w:szCs w:val="24"/>
        </w:rPr>
        <w:t xml:space="preserve">not in poetry but </w:t>
      </w:r>
      <w:r w:rsidRPr="00FF5C45">
        <w:rPr>
          <w:rFonts w:cstheme="minorHAnsi"/>
          <w:sz w:val="24"/>
          <w:szCs w:val="24"/>
        </w:rPr>
        <w:t>in two prose works that he made his ‘nearest approach to literature’.</w:t>
      </w:r>
      <w:r w:rsidRPr="00FF5C45">
        <w:rPr>
          <w:rStyle w:val="FootnoteReference"/>
          <w:rFonts w:cstheme="minorHAnsi"/>
          <w:sz w:val="24"/>
          <w:szCs w:val="24"/>
        </w:rPr>
        <w:footnoteReference w:id="3"/>
      </w:r>
    </w:p>
    <w:p w:rsidR="003D3A2C" w:rsidRPr="00FF5C45" w:rsidRDefault="003D3A2C">
      <w:pPr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 xml:space="preserve">One of these works was </w:t>
      </w:r>
      <w:r w:rsidR="004D6A53">
        <w:rPr>
          <w:rFonts w:cstheme="minorHAnsi"/>
          <w:sz w:val="24"/>
          <w:szCs w:val="24"/>
        </w:rPr>
        <w:t>_</w:t>
      </w:r>
      <w:r w:rsidRPr="00FF5C45">
        <w:rPr>
          <w:rFonts w:cstheme="minorHAnsi"/>
          <w:i/>
          <w:sz w:val="24"/>
          <w:szCs w:val="24"/>
        </w:rPr>
        <w:t>The Garden That I Love</w:t>
      </w:r>
      <w:r w:rsidR="004D6A53">
        <w:rPr>
          <w:rFonts w:cstheme="minorHAnsi"/>
          <w:i/>
          <w:sz w:val="24"/>
          <w:szCs w:val="24"/>
        </w:rPr>
        <w:t>_</w:t>
      </w:r>
      <w:r w:rsidRPr="00FF5C45">
        <w:rPr>
          <w:rFonts w:cstheme="minorHAnsi"/>
          <w:sz w:val="24"/>
          <w:szCs w:val="24"/>
        </w:rPr>
        <w:t xml:space="preserve"> (1894), in which he describes the garden of </w:t>
      </w:r>
      <w:proofErr w:type="spellStart"/>
      <w:r w:rsidRPr="00FF5C45">
        <w:rPr>
          <w:rFonts w:cstheme="minorHAnsi"/>
          <w:sz w:val="24"/>
          <w:szCs w:val="24"/>
        </w:rPr>
        <w:t>Swinford</w:t>
      </w:r>
      <w:proofErr w:type="spellEnd"/>
      <w:r w:rsidRPr="00FF5C45">
        <w:rPr>
          <w:rFonts w:cstheme="minorHAnsi"/>
          <w:sz w:val="24"/>
          <w:szCs w:val="24"/>
        </w:rPr>
        <w:t xml:space="preserve"> Old Manor, near Ashford, on a:</w:t>
      </w:r>
    </w:p>
    <w:p w:rsidR="003D3A2C" w:rsidRPr="00FF5C45" w:rsidRDefault="003D3A2C" w:rsidP="003D3A2C">
      <w:pPr>
        <w:ind w:left="720"/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>quiet August afternoon, with its long motionless shadows, its slight intimation of silver haze, and its soothing noises of neighbourhood rooks; the music of a mill stream I could just overhear, the melodious monotone of contiguous ringdoves, the colour of the nectarines on the wall, the recollection of the ripe and ruddy orchard; - all of these seemed to imbue my mind with a sense of autumnal mellowness, when everything one longs for awaits the plucking, and there is nothing more to be desired.</w:t>
      </w:r>
      <w:r w:rsidRPr="00FF5C45">
        <w:rPr>
          <w:rStyle w:val="FootnoteReference"/>
          <w:rFonts w:cstheme="minorHAnsi"/>
          <w:sz w:val="24"/>
          <w:szCs w:val="24"/>
        </w:rPr>
        <w:footnoteReference w:id="4"/>
      </w:r>
    </w:p>
    <w:p w:rsidR="003D3A2C" w:rsidRPr="00FF5C45" w:rsidRDefault="003D3A2C" w:rsidP="003D3A2C">
      <w:pPr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 xml:space="preserve">Fellow gardening enthusiast [Elizabeth von </w:t>
      </w:r>
      <w:proofErr w:type="gramStart"/>
      <w:r w:rsidRPr="00FF5C45">
        <w:rPr>
          <w:rFonts w:cstheme="minorHAnsi"/>
          <w:sz w:val="24"/>
          <w:szCs w:val="24"/>
        </w:rPr>
        <w:t>Arnim](</w:t>
      </w:r>
      <w:proofErr w:type="gramEnd"/>
      <w:r w:rsidRPr="00FF5C45">
        <w:rPr>
          <w:rFonts w:cstheme="minorHAnsi"/>
          <w:sz w:val="24"/>
          <w:szCs w:val="24"/>
        </w:rPr>
        <w:t>/20c/20c-vonarnim-biography) was so taken with the book that she wrote a fan letter (which she was too embarrassed to send).</w:t>
      </w:r>
      <w:r w:rsidRPr="00FF5C45">
        <w:rPr>
          <w:rStyle w:val="FootnoteReference"/>
          <w:rFonts w:cstheme="minorHAnsi"/>
          <w:sz w:val="24"/>
          <w:szCs w:val="24"/>
        </w:rPr>
        <w:footnoteReference w:id="5"/>
      </w:r>
      <w:r w:rsidRPr="00FF5C45">
        <w:rPr>
          <w:rFonts w:cstheme="minorHAnsi"/>
          <w:sz w:val="24"/>
          <w:szCs w:val="24"/>
        </w:rPr>
        <w:t xml:space="preserve"> She later described the garden as </w:t>
      </w:r>
      <w:r w:rsidRPr="00FF5C45">
        <w:rPr>
          <w:rFonts w:cstheme="minorHAnsi"/>
          <w:sz w:val="24"/>
          <w:szCs w:val="24"/>
        </w:rPr>
        <w:t>the loveliest she ha</w:t>
      </w:r>
      <w:r w:rsidRPr="00FF5C45">
        <w:rPr>
          <w:rFonts w:cstheme="minorHAnsi"/>
          <w:sz w:val="24"/>
          <w:szCs w:val="24"/>
        </w:rPr>
        <w:t>d</w:t>
      </w:r>
      <w:r w:rsidRPr="00FF5C45">
        <w:rPr>
          <w:rFonts w:cstheme="minorHAnsi"/>
          <w:sz w:val="24"/>
          <w:szCs w:val="24"/>
        </w:rPr>
        <w:t xml:space="preserve"> ever seen.</w:t>
      </w:r>
      <w:r w:rsidRPr="00FF5C45">
        <w:rPr>
          <w:rStyle w:val="FootnoteReference"/>
          <w:rFonts w:cstheme="minorHAnsi"/>
          <w:sz w:val="24"/>
          <w:szCs w:val="24"/>
        </w:rPr>
        <w:footnoteReference w:id="6"/>
      </w:r>
      <w:r w:rsidRPr="00FF5C45">
        <w:rPr>
          <w:rFonts w:cstheme="minorHAnsi"/>
          <w:sz w:val="24"/>
          <w:szCs w:val="24"/>
        </w:rPr>
        <w:t xml:space="preserve"> </w:t>
      </w:r>
    </w:p>
    <w:p w:rsidR="003F3CF0" w:rsidRDefault="005C79C0" w:rsidP="003D3A2C">
      <w:pPr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 xml:space="preserve">Austin and his wife had lived here since their marriage in 1867, entertaining guests including John Everett Millais and Wilfred </w:t>
      </w:r>
      <w:proofErr w:type="spellStart"/>
      <w:r w:rsidRPr="00FF5C45">
        <w:rPr>
          <w:rFonts w:cstheme="minorHAnsi"/>
          <w:sz w:val="24"/>
          <w:szCs w:val="24"/>
        </w:rPr>
        <w:t>Scawen</w:t>
      </w:r>
      <w:proofErr w:type="spellEnd"/>
      <w:r w:rsidRPr="00FF5C45">
        <w:rPr>
          <w:rFonts w:cstheme="minorHAnsi"/>
          <w:sz w:val="24"/>
          <w:szCs w:val="24"/>
        </w:rPr>
        <w:t xml:space="preserve"> Blunt</w:t>
      </w:r>
      <w:r w:rsidR="003F3CF0" w:rsidRPr="00FF5C45">
        <w:rPr>
          <w:rFonts w:cstheme="minorHAnsi"/>
          <w:sz w:val="24"/>
          <w:szCs w:val="24"/>
        </w:rPr>
        <w:t xml:space="preserve"> as well as sustaining friendships with local Tories such as </w:t>
      </w:r>
      <w:proofErr w:type="spellStart"/>
      <w:r w:rsidR="003F3CF0" w:rsidRPr="00FF5C45">
        <w:rPr>
          <w:rFonts w:cstheme="minorHAnsi"/>
          <w:sz w:val="24"/>
          <w:szCs w:val="24"/>
        </w:rPr>
        <w:t>Aretas</w:t>
      </w:r>
      <w:proofErr w:type="spellEnd"/>
      <w:r w:rsidR="003F3CF0" w:rsidRPr="00FF5C45">
        <w:rPr>
          <w:rFonts w:cstheme="minorHAnsi"/>
          <w:sz w:val="24"/>
          <w:szCs w:val="24"/>
        </w:rPr>
        <w:t xml:space="preserve"> Akers-Douglas, later 1</w:t>
      </w:r>
      <w:r w:rsidR="003F3CF0" w:rsidRPr="00FF5C45">
        <w:rPr>
          <w:rFonts w:cstheme="minorHAnsi"/>
          <w:sz w:val="24"/>
          <w:szCs w:val="24"/>
          <w:vertAlign w:val="superscript"/>
        </w:rPr>
        <w:t>st</w:t>
      </w:r>
      <w:r w:rsidR="003F3CF0" w:rsidRPr="00FF5C45">
        <w:rPr>
          <w:rFonts w:cstheme="minorHAnsi"/>
          <w:sz w:val="24"/>
          <w:szCs w:val="24"/>
        </w:rPr>
        <w:t xml:space="preserve"> Viscount </w:t>
      </w:r>
      <w:proofErr w:type="spellStart"/>
      <w:r w:rsidR="003F3CF0" w:rsidRPr="00FF5C45">
        <w:rPr>
          <w:rFonts w:cstheme="minorHAnsi"/>
          <w:sz w:val="24"/>
          <w:szCs w:val="24"/>
        </w:rPr>
        <w:t>Chilston</w:t>
      </w:r>
      <w:proofErr w:type="spellEnd"/>
      <w:r w:rsidR="003F3CF0" w:rsidRPr="00FF5C45">
        <w:rPr>
          <w:rFonts w:cstheme="minorHAnsi"/>
          <w:sz w:val="24"/>
          <w:szCs w:val="24"/>
        </w:rPr>
        <w:t>.</w:t>
      </w:r>
      <w:r w:rsidR="00322471" w:rsidRPr="00FF5C45">
        <w:rPr>
          <w:rFonts w:cstheme="minorHAnsi"/>
          <w:sz w:val="24"/>
          <w:szCs w:val="24"/>
        </w:rPr>
        <w:t xml:space="preserve"> But not everyone was delighted by the poet’s presence among them</w:t>
      </w:r>
      <w:r w:rsidR="009D0E3A" w:rsidRPr="00FF5C45">
        <w:rPr>
          <w:rFonts w:cstheme="minorHAnsi"/>
          <w:sz w:val="24"/>
          <w:szCs w:val="24"/>
        </w:rPr>
        <w:t xml:space="preserve"> or by his political stance</w:t>
      </w:r>
      <w:r w:rsidR="00322471" w:rsidRPr="00FF5C45">
        <w:rPr>
          <w:rFonts w:cstheme="minorHAnsi"/>
          <w:sz w:val="24"/>
          <w:szCs w:val="24"/>
        </w:rPr>
        <w:t>.</w:t>
      </w:r>
      <w:r w:rsidR="00355233" w:rsidRPr="00FF5C45">
        <w:rPr>
          <w:rFonts w:cstheme="minorHAnsi"/>
          <w:sz w:val="24"/>
          <w:szCs w:val="24"/>
        </w:rPr>
        <w:t xml:space="preserve"> The </w:t>
      </w:r>
      <w:r w:rsidR="009D0E3A" w:rsidRPr="00FF5C45">
        <w:rPr>
          <w:rFonts w:cstheme="minorHAnsi"/>
          <w:sz w:val="24"/>
          <w:szCs w:val="24"/>
        </w:rPr>
        <w:t>_</w:t>
      </w:r>
      <w:r w:rsidR="00355233" w:rsidRPr="00FF5C45">
        <w:rPr>
          <w:rFonts w:cstheme="minorHAnsi"/>
          <w:sz w:val="24"/>
          <w:szCs w:val="24"/>
        </w:rPr>
        <w:t>Thanet Advertiser</w:t>
      </w:r>
      <w:r w:rsidR="009D0E3A" w:rsidRPr="00FF5C45">
        <w:rPr>
          <w:rFonts w:cstheme="minorHAnsi"/>
          <w:sz w:val="24"/>
          <w:szCs w:val="24"/>
        </w:rPr>
        <w:t>_</w:t>
      </w:r>
      <w:r w:rsidR="00355233" w:rsidRPr="00FF5C45">
        <w:rPr>
          <w:rFonts w:cstheme="minorHAnsi"/>
          <w:sz w:val="24"/>
          <w:szCs w:val="24"/>
        </w:rPr>
        <w:t xml:space="preserve"> </w:t>
      </w:r>
      <w:r w:rsidR="009D0E3A" w:rsidRPr="00FF5C45">
        <w:rPr>
          <w:rFonts w:cstheme="minorHAnsi"/>
          <w:sz w:val="24"/>
          <w:szCs w:val="24"/>
        </w:rPr>
        <w:t>took</w:t>
      </w:r>
      <w:r w:rsidR="00355233" w:rsidRPr="00FF5C45">
        <w:rPr>
          <w:rFonts w:cstheme="minorHAnsi"/>
          <w:sz w:val="24"/>
          <w:szCs w:val="24"/>
        </w:rPr>
        <w:t xml:space="preserve"> </w:t>
      </w:r>
      <w:r w:rsidR="009D0E3A" w:rsidRPr="00FF5C45">
        <w:rPr>
          <w:rFonts w:cstheme="minorHAnsi"/>
          <w:sz w:val="24"/>
          <w:szCs w:val="24"/>
        </w:rPr>
        <w:t xml:space="preserve">him to task for his description of Gladstone as </w:t>
      </w:r>
      <w:r w:rsidR="00355233" w:rsidRPr="00FF5C45">
        <w:rPr>
          <w:rFonts w:cstheme="minorHAnsi"/>
          <w:sz w:val="24"/>
          <w:szCs w:val="24"/>
        </w:rPr>
        <w:t>a ‘verbose poltroon’</w:t>
      </w:r>
      <w:r w:rsidR="009D0E3A" w:rsidRPr="00FF5C45">
        <w:rPr>
          <w:rFonts w:cstheme="minorHAnsi"/>
          <w:sz w:val="24"/>
          <w:szCs w:val="24"/>
        </w:rPr>
        <w:t xml:space="preserve"> at a local meeting, predicting that </w:t>
      </w:r>
      <w:r w:rsidR="004D6A53">
        <w:rPr>
          <w:rFonts w:cstheme="minorHAnsi"/>
          <w:sz w:val="24"/>
          <w:szCs w:val="24"/>
        </w:rPr>
        <w:t>the minister</w:t>
      </w:r>
      <w:r w:rsidR="009D0E3A" w:rsidRPr="00FF5C45">
        <w:rPr>
          <w:rFonts w:cstheme="minorHAnsi"/>
          <w:sz w:val="24"/>
          <w:szCs w:val="24"/>
        </w:rPr>
        <w:t xml:space="preserve"> would be revered by thousands who failed to remember ‘the wild poet’.</w:t>
      </w:r>
      <w:r w:rsidR="007474BA" w:rsidRPr="007474BA">
        <w:rPr>
          <w:rStyle w:val="FootnoteReference"/>
          <w:rFonts w:cstheme="minorHAnsi"/>
          <w:sz w:val="24"/>
          <w:szCs w:val="24"/>
        </w:rPr>
        <w:t xml:space="preserve"> </w:t>
      </w:r>
      <w:r w:rsidR="007474BA" w:rsidRPr="00FF5C45">
        <w:rPr>
          <w:rStyle w:val="FootnoteReference"/>
          <w:rFonts w:cstheme="minorHAnsi"/>
          <w:sz w:val="24"/>
          <w:szCs w:val="24"/>
        </w:rPr>
        <w:footnoteReference w:id="7"/>
      </w:r>
    </w:p>
    <w:p w:rsidR="004D6A53" w:rsidRDefault="00BB2CAC" w:rsidP="003D3A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February 1896 the paper offered a prize ‘to the reader who will send the best reason for appointing Mr Alfred Austin to the office of Poet Laureate’ a feat it considered the more </w:t>
      </w:r>
      <w:r>
        <w:rPr>
          <w:rFonts w:cstheme="minorHAnsi"/>
          <w:sz w:val="24"/>
          <w:szCs w:val="24"/>
        </w:rPr>
        <w:lastRenderedPageBreak/>
        <w:t>difficult because ‘A poet ought to be able to write poetry, and poetry is not necessarily all drivel.’</w:t>
      </w:r>
      <w:r>
        <w:rPr>
          <w:rStyle w:val="FootnoteReference"/>
          <w:rFonts w:cstheme="minorHAnsi"/>
          <w:sz w:val="24"/>
          <w:szCs w:val="24"/>
        </w:rPr>
        <w:footnoteReference w:id="8"/>
      </w:r>
      <w:r>
        <w:rPr>
          <w:rFonts w:cstheme="minorHAnsi"/>
          <w:sz w:val="24"/>
          <w:szCs w:val="24"/>
        </w:rPr>
        <w:t xml:space="preserve"> </w:t>
      </w:r>
    </w:p>
    <w:p w:rsidR="00BB2CAC" w:rsidRPr="00FF5C45" w:rsidRDefault="00BB2CAC" w:rsidP="003D3A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Poignantly </w:t>
      </w:r>
      <w:r w:rsidR="007474BA">
        <w:rPr>
          <w:rFonts w:cstheme="minorHAnsi"/>
          <w:sz w:val="24"/>
          <w:szCs w:val="24"/>
        </w:rPr>
        <w:t xml:space="preserve">at his death </w:t>
      </w:r>
      <w:r>
        <w:rPr>
          <w:rFonts w:cstheme="minorHAnsi"/>
          <w:sz w:val="24"/>
          <w:szCs w:val="24"/>
        </w:rPr>
        <w:t xml:space="preserve">Austin’s own library </w:t>
      </w:r>
      <w:r w:rsidR="007474BA">
        <w:rPr>
          <w:rFonts w:cstheme="minorHAnsi"/>
          <w:sz w:val="24"/>
          <w:szCs w:val="24"/>
        </w:rPr>
        <w:t xml:space="preserve">was found to </w:t>
      </w:r>
      <w:r>
        <w:rPr>
          <w:rFonts w:cstheme="minorHAnsi"/>
          <w:sz w:val="24"/>
          <w:szCs w:val="24"/>
        </w:rPr>
        <w:t>include work</w:t>
      </w:r>
      <w:r w:rsidR="007474BA">
        <w:rPr>
          <w:rFonts w:cstheme="minorHAnsi"/>
          <w:sz w:val="24"/>
          <w:szCs w:val="24"/>
        </w:rPr>
        <w:t>s by</w:t>
      </w:r>
      <w:r>
        <w:rPr>
          <w:rFonts w:cstheme="minorHAnsi"/>
          <w:sz w:val="24"/>
          <w:szCs w:val="24"/>
        </w:rPr>
        <w:t xml:space="preserve"> much greater authors, including </w:t>
      </w:r>
      <w:r w:rsidR="007474BA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Dickens</w:t>
      </w:r>
      <w:r w:rsidR="007474BA">
        <w:rPr>
          <w:rFonts w:cstheme="minorHAnsi"/>
          <w:sz w:val="24"/>
          <w:szCs w:val="24"/>
        </w:rPr>
        <w:t>](</w:t>
      </w:r>
      <w:r w:rsidR="007474BA" w:rsidRPr="007474BA">
        <w:rPr>
          <w:rFonts w:cstheme="minorHAnsi"/>
          <w:sz w:val="24"/>
          <w:szCs w:val="24"/>
        </w:rPr>
        <w:t>/dickens</w:t>
      </w:r>
      <w:r w:rsidR="007474B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</w:t>
      </w:r>
      <w:r w:rsidR="007474BA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 xml:space="preserve">Christina </w:t>
      </w:r>
      <w:proofErr w:type="gramStart"/>
      <w:r>
        <w:rPr>
          <w:rFonts w:cstheme="minorHAnsi"/>
          <w:sz w:val="24"/>
          <w:szCs w:val="24"/>
        </w:rPr>
        <w:t>Rossetti</w:t>
      </w:r>
      <w:r w:rsidR="007474BA">
        <w:rPr>
          <w:rFonts w:cstheme="minorHAnsi"/>
          <w:sz w:val="24"/>
          <w:szCs w:val="24"/>
        </w:rPr>
        <w:t>](</w:t>
      </w:r>
      <w:proofErr w:type="gramEnd"/>
      <w:r w:rsidR="007474BA" w:rsidRPr="007474BA">
        <w:rPr>
          <w:rFonts w:cstheme="minorHAnsi"/>
          <w:sz w:val="24"/>
          <w:szCs w:val="24"/>
        </w:rPr>
        <w:t>/19c/19c-rossetti-biography</w:t>
      </w:r>
      <w:r w:rsidR="007474B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and Tennyson.</w:t>
      </w:r>
    </w:p>
    <w:p w:rsidR="003D3A2C" w:rsidRPr="00FF5C45" w:rsidRDefault="003D3A2C" w:rsidP="003D3A2C">
      <w:pPr>
        <w:rPr>
          <w:rFonts w:cstheme="minorHAnsi"/>
          <w:sz w:val="24"/>
          <w:szCs w:val="24"/>
        </w:rPr>
      </w:pPr>
    </w:p>
    <w:p w:rsidR="009D0E3A" w:rsidRPr="00FF5C45" w:rsidRDefault="009D0E3A" w:rsidP="003D3A2C">
      <w:pPr>
        <w:rPr>
          <w:rFonts w:cstheme="minorHAnsi"/>
          <w:b/>
          <w:sz w:val="24"/>
          <w:szCs w:val="24"/>
        </w:rPr>
      </w:pPr>
      <w:r w:rsidRPr="00FF5C45">
        <w:rPr>
          <w:rFonts w:cstheme="minorHAnsi"/>
          <w:b/>
          <w:sz w:val="24"/>
          <w:szCs w:val="24"/>
        </w:rPr>
        <w:t xml:space="preserve">Bibliography </w:t>
      </w:r>
    </w:p>
    <w:p w:rsidR="005C79C0" w:rsidRPr="00FF5C45" w:rsidRDefault="003D3A2C" w:rsidP="005C79C0">
      <w:pPr>
        <w:spacing w:after="45" w:line="240" w:lineRule="auto"/>
        <w:outlineLvl w:val="2"/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 xml:space="preserve">Austin, Alfred. </w:t>
      </w:r>
      <w:r w:rsidR="005C79C0" w:rsidRPr="00FF5C45">
        <w:rPr>
          <w:rFonts w:cstheme="minorHAnsi"/>
          <w:i/>
          <w:sz w:val="24"/>
          <w:szCs w:val="24"/>
        </w:rPr>
        <w:t>The Autobiography of Alfred Austin, Poet Laureate, 1835-1910</w:t>
      </w:r>
      <w:r w:rsidR="005C79C0" w:rsidRPr="00FF5C45">
        <w:rPr>
          <w:rFonts w:cstheme="minorHAnsi"/>
          <w:sz w:val="24"/>
          <w:szCs w:val="24"/>
        </w:rPr>
        <w:t xml:space="preserve">. Macmillan </w:t>
      </w:r>
    </w:p>
    <w:p w:rsidR="005C79C0" w:rsidRPr="00FF5C45" w:rsidRDefault="005C79C0" w:rsidP="005C79C0">
      <w:pPr>
        <w:spacing w:after="45" w:line="240" w:lineRule="auto"/>
        <w:outlineLvl w:val="2"/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 xml:space="preserve">  1911. Vol 2 of 2.</w:t>
      </w:r>
    </w:p>
    <w:p w:rsidR="00322471" w:rsidRPr="00FF5C45" w:rsidRDefault="00322471" w:rsidP="005C79C0">
      <w:pPr>
        <w:spacing w:after="45" w:line="240" w:lineRule="auto"/>
        <w:outlineLvl w:val="2"/>
        <w:rPr>
          <w:rFonts w:cstheme="minorHAnsi"/>
          <w:sz w:val="24"/>
          <w:szCs w:val="24"/>
        </w:rPr>
      </w:pPr>
    </w:p>
    <w:p w:rsidR="003D3A2C" w:rsidRPr="00FF5C45" w:rsidRDefault="005C79C0" w:rsidP="005C79C0">
      <w:pPr>
        <w:spacing w:after="45" w:line="240" w:lineRule="auto"/>
        <w:outlineLvl w:val="2"/>
        <w:rPr>
          <w:rFonts w:cstheme="minorHAnsi"/>
          <w:sz w:val="24"/>
          <w:szCs w:val="24"/>
          <w:highlight w:val="yellow"/>
        </w:rPr>
      </w:pPr>
      <w:r w:rsidRPr="00FF5C45">
        <w:rPr>
          <w:rFonts w:cstheme="minorHAnsi"/>
          <w:sz w:val="24"/>
          <w:szCs w:val="24"/>
        </w:rPr>
        <w:t xml:space="preserve">--. </w:t>
      </w:r>
      <w:r w:rsidR="009D0E3A" w:rsidRPr="00FF5C45">
        <w:rPr>
          <w:rFonts w:cstheme="minorHAnsi"/>
          <w:sz w:val="24"/>
          <w:szCs w:val="24"/>
        </w:rPr>
        <w:t>_</w:t>
      </w:r>
      <w:r w:rsidR="003D3A2C" w:rsidRPr="00FF5C45">
        <w:rPr>
          <w:rFonts w:cstheme="minorHAnsi"/>
          <w:i/>
          <w:sz w:val="24"/>
          <w:szCs w:val="24"/>
        </w:rPr>
        <w:t>The Garden That I Love</w:t>
      </w:r>
      <w:r w:rsidR="009D0E3A" w:rsidRPr="00FF5C45">
        <w:rPr>
          <w:rFonts w:cstheme="minorHAnsi"/>
          <w:i/>
          <w:sz w:val="24"/>
          <w:szCs w:val="24"/>
        </w:rPr>
        <w:t>_</w:t>
      </w:r>
      <w:r w:rsidR="003D3A2C" w:rsidRPr="00FF5C45">
        <w:rPr>
          <w:rFonts w:cstheme="minorHAnsi"/>
          <w:sz w:val="24"/>
          <w:szCs w:val="24"/>
        </w:rPr>
        <w:t>.</w:t>
      </w:r>
      <w:r w:rsidRPr="00FF5C45">
        <w:rPr>
          <w:rFonts w:cstheme="minorHAnsi"/>
          <w:sz w:val="24"/>
          <w:szCs w:val="24"/>
        </w:rPr>
        <w:t xml:space="preserve"> </w:t>
      </w:r>
      <w:r w:rsidR="00AC3910">
        <w:rPr>
          <w:rFonts w:cstheme="minorHAnsi"/>
          <w:sz w:val="24"/>
          <w:szCs w:val="24"/>
        </w:rPr>
        <w:t>London: Alfred and Charles Black, 1906.</w:t>
      </w:r>
      <w:bookmarkStart w:id="0" w:name="_GoBack"/>
      <w:bookmarkEnd w:id="0"/>
    </w:p>
    <w:p w:rsidR="00322471" w:rsidRPr="00FF5C45" w:rsidRDefault="00322471" w:rsidP="005C79C0">
      <w:pPr>
        <w:spacing w:after="45" w:line="240" w:lineRule="auto"/>
        <w:outlineLvl w:val="2"/>
        <w:rPr>
          <w:rFonts w:cstheme="minorHAnsi"/>
          <w:sz w:val="24"/>
          <w:szCs w:val="24"/>
        </w:rPr>
      </w:pPr>
    </w:p>
    <w:p w:rsidR="009D0E3A" w:rsidRPr="00FF5C45" w:rsidRDefault="009D0E3A">
      <w:pPr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 xml:space="preserve">‘The Cherub’. _Thanet Advertiser_. 16 July 1892. 5. </w:t>
      </w:r>
    </w:p>
    <w:p w:rsidR="00197A65" w:rsidRPr="00FF5C45" w:rsidRDefault="00197A65">
      <w:pPr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 xml:space="preserve">Hamilton, W. </w:t>
      </w:r>
      <w:proofErr w:type="spellStart"/>
      <w:r w:rsidRPr="00FF5C45">
        <w:rPr>
          <w:rFonts w:cstheme="minorHAnsi"/>
          <w:sz w:val="24"/>
          <w:szCs w:val="24"/>
        </w:rPr>
        <w:t>Mabie</w:t>
      </w:r>
      <w:proofErr w:type="spellEnd"/>
      <w:r w:rsidRPr="00FF5C45">
        <w:rPr>
          <w:rFonts w:cstheme="minorHAnsi"/>
          <w:sz w:val="24"/>
          <w:szCs w:val="24"/>
        </w:rPr>
        <w:t xml:space="preserve">. </w:t>
      </w:r>
      <w:r w:rsidRPr="00FF5C45">
        <w:rPr>
          <w:rFonts w:cstheme="minorHAnsi"/>
          <w:sz w:val="24"/>
          <w:szCs w:val="24"/>
        </w:rPr>
        <w:t xml:space="preserve">‘Alfred Austin: </w:t>
      </w:r>
      <w:proofErr w:type="gramStart"/>
      <w:r w:rsidRPr="00FF5C45">
        <w:rPr>
          <w:rFonts w:cstheme="minorHAnsi"/>
          <w:sz w:val="24"/>
          <w:szCs w:val="24"/>
        </w:rPr>
        <w:t>the</w:t>
      </w:r>
      <w:proofErr w:type="gramEnd"/>
      <w:r w:rsidRPr="00FF5C45">
        <w:rPr>
          <w:rFonts w:cstheme="minorHAnsi"/>
          <w:sz w:val="24"/>
          <w:szCs w:val="24"/>
        </w:rPr>
        <w:t xml:space="preserve"> New Poet Laureate’. </w:t>
      </w:r>
      <w:r w:rsidRPr="00FF5C45">
        <w:rPr>
          <w:rFonts w:cstheme="minorHAnsi"/>
          <w:i/>
          <w:sz w:val="24"/>
          <w:szCs w:val="24"/>
        </w:rPr>
        <w:t>The Outlook</w:t>
      </w:r>
      <w:r w:rsidRPr="00FF5C45">
        <w:rPr>
          <w:rFonts w:cstheme="minorHAnsi"/>
          <w:sz w:val="24"/>
          <w:szCs w:val="24"/>
        </w:rPr>
        <w:t>.</w:t>
      </w:r>
    </w:p>
    <w:p w:rsidR="00322471" w:rsidRPr="00FF5C45" w:rsidRDefault="00322471">
      <w:pPr>
        <w:rPr>
          <w:rStyle w:val="cbcontent"/>
          <w:rFonts w:cstheme="minorHAnsi"/>
          <w:color w:val="333333"/>
          <w:sz w:val="24"/>
          <w:szCs w:val="24"/>
        </w:rPr>
      </w:pPr>
      <w:r w:rsidRPr="00FF5C45">
        <w:rPr>
          <w:rFonts w:cstheme="minorHAnsi"/>
          <w:sz w:val="24"/>
          <w:szCs w:val="24"/>
        </w:rPr>
        <w:t>Letters and papers of 1</w:t>
      </w:r>
      <w:r w:rsidRPr="00FF5C45">
        <w:rPr>
          <w:rFonts w:cstheme="minorHAnsi"/>
          <w:sz w:val="24"/>
          <w:szCs w:val="24"/>
          <w:vertAlign w:val="superscript"/>
        </w:rPr>
        <w:t>st</w:t>
      </w:r>
      <w:r w:rsidRPr="00FF5C45">
        <w:rPr>
          <w:rFonts w:cstheme="minorHAnsi"/>
          <w:sz w:val="24"/>
          <w:szCs w:val="24"/>
        </w:rPr>
        <w:t xml:space="preserve"> Viscount </w:t>
      </w:r>
      <w:proofErr w:type="spellStart"/>
      <w:r w:rsidRPr="00FF5C45">
        <w:rPr>
          <w:rFonts w:cstheme="minorHAnsi"/>
          <w:sz w:val="24"/>
          <w:szCs w:val="24"/>
        </w:rPr>
        <w:t>Chilston</w:t>
      </w:r>
      <w:proofErr w:type="spellEnd"/>
      <w:r w:rsidRPr="00FF5C45">
        <w:rPr>
          <w:rFonts w:cstheme="minorHAnsi"/>
          <w:sz w:val="24"/>
          <w:szCs w:val="24"/>
        </w:rPr>
        <w:t xml:space="preserve">. Kent History and Library Centre. </w:t>
      </w:r>
      <w:r w:rsidRPr="00FF5C45">
        <w:rPr>
          <w:rStyle w:val="cbcontent"/>
          <w:rFonts w:cstheme="minorHAnsi"/>
          <w:color w:val="333333"/>
          <w:sz w:val="24"/>
          <w:szCs w:val="24"/>
        </w:rPr>
        <w:t>U564/C56/1-2</w:t>
      </w:r>
      <w:r w:rsidRPr="00FF5C45">
        <w:rPr>
          <w:rStyle w:val="cbcontent"/>
          <w:rFonts w:cstheme="minorHAnsi"/>
          <w:color w:val="333333"/>
          <w:sz w:val="24"/>
          <w:szCs w:val="24"/>
        </w:rPr>
        <w:t>.</w:t>
      </w:r>
    </w:p>
    <w:p w:rsidR="009D0E3A" w:rsidRPr="00FF5C45" w:rsidRDefault="009D0E3A" w:rsidP="009D0E3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>O'Connell</w:t>
      </w:r>
      <w:r w:rsidRPr="00FF5C45">
        <w:rPr>
          <w:rFonts w:cstheme="minorHAnsi"/>
          <w:sz w:val="24"/>
          <w:szCs w:val="24"/>
        </w:rPr>
        <w:t>, Rachel.</w:t>
      </w:r>
      <w:r w:rsidR="00935A15">
        <w:rPr>
          <w:rFonts w:cstheme="minorHAnsi"/>
          <w:sz w:val="24"/>
          <w:szCs w:val="24"/>
        </w:rPr>
        <w:t xml:space="preserve"> </w:t>
      </w:r>
      <w:r w:rsidRPr="00FF5C45">
        <w:rPr>
          <w:rFonts w:cstheme="minorHAnsi"/>
          <w:sz w:val="24"/>
          <w:szCs w:val="24"/>
        </w:rPr>
        <w:t>’</w:t>
      </w:r>
      <w:r w:rsidRPr="00FF5C45">
        <w:rPr>
          <w:rFonts w:cstheme="minorHAnsi"/>
          <w:sz w:val="24"/>
          <w:szCs w:val="24"/>
        </w:rPr>
        <w:t>Love Scenes and Garden Plots: Form and Femininity</w:t>
      </w:r>
    </w:p>
    <w:p w:rsidR="009D0E3A" w:rsidRPr="00FF5C45" w:rsidRDefault="009D0E3A" w:rsidP="009D0E3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5C45">
        <w:rPr>
          <w:rFonts w:cstheme="minorHAnsi"/>
          <w:sz w:val="24"/>
          <w:szCs w:val="24"/>
        </w:rPr>
        <w:t xml:space="preserve">in Elizabeth von Arnim’s </w:t>
      </w:r>
      <w:r w:rsidRPr="00FF5C45">
        <w:rPr>
          <w:rFonts w:cstheme="minorHAnsi"/>
          <w:sz w:val="24"/>
          <w:szCs w:val="24"/>
        </w:rPr>
        <w:t>_</w:t>
      </w:r>
      <w:r w:rsidRPr="00FF5C45">
        <w:rPr>
          <w:rFonts w:cstheme="minorHAnsi"/>
          <w:i/>
          <w:iCs/>
          <w:sz w:val="24"/>
          <w:szCs w:val="24"/>
        </w:rPr>
        <w:t>Elizabeth</w:t>
      </w:r>
      <w:r w:rsidRPr="00FF5C45">
        <w:rPr>
          <w:rFonts w:cstheme="minorHAnsi"/>
          <w:i/>
          <w:iCs/>
          <w:sz w:val="24"/>
          <w:szCs w:val="24"/>
        </w:rPr>
        <w:t xml:space="preserve"> </w:t>
      </w:r>
      <w:r w:rsidRPr="00FF5C45">
        <w:rPr>
          <w:rFonts w:cstheme="minorHAnsi"/>
          <w:i/>
          <w:iCs/>
          <w:sz w:val="24"/>
          <w:szCs w:val="24"/>
        </w:rPr>
        <w:t>and</w:t>
      </w:r>
      <w:r w:rsidRPr="00FF5C45">
        <w:rPr>
          <w:rFonts w:cstheme="minorHAnsi"/>
          <w:i/>
          <w:iCs/>
          <w:sz w:val="24"/>
          <w:szCs w:val="24"/>
        </w:rPr>
        <w:t xml:space="preserve"> </w:t>
      </w:r>
      <w:r w:rsidRPr="00FF5C45">
        <w:rPr>
          <w:rFonts w:cstheme="minorHAnsi"/>
          <w:i/>
          <w:iCs/>
          <w:sz w:val="24"/>
          <w:szCs w:val="24"/>
        </w:rPr>
        <w:t>Her</w:t>
      </w:r>
      <w:r w:rsidRPr="00FF5C45">
        <w:rPr>
          <w:rFonts w:cstheme="minorHAnsi"/>
          <w:i/>
          <w:iCs/>
          <w:sz w:val="24"/>
          <w:szCs w:val="24"/>
        </w:rPr>
        <w:t xml:space="preserve"> </w:t>
      </w:r>
      <w:r w:rsidRPr="00FF5C45">
        <w:rPr>
          <w:rFonts w:cstheme="minorHAnsi"/>
          <w:i/>
          <w:iCs/>
          <w:sz w:val="24"/>
          <w:szCs w:val="24"/>
        </w:rPr>
        <w:t>German</w:t>
      </w:r>
      <w:r w:rsidRPr="00FF5C45">
        <w:rPr>
          <w:rFonts w:cstheme="minorHAnsi"/>
          <w:i/>
          <w:iCs/>
          <w:sz w:val="24"/>
          <w:szCs w:val="24"/>
        </w:rPr>
        <w:t xml:space="preserve"> </w:t>
      </w:r>
      <w:r w:rsidRPr="00FF5C45">
        <w:rPr>
          <w:rFonts w:cstheme="minorHAnsi"/>
          <w:i/>
          <w:iCs/>
          <w:sz w:val="24"/>
          <w:szCs w:val="24"/>
        </w:rPr>
        <w:t>Garden</w:t>
      </w:r>
      <w:r w:rsidRPr="00FF5C45">
        <w:rPr>
          <w:rFonts w:cstheme="minorHAnsi"/>
          <w:iCs/>
          <w:sz w:val="24"/>
          <w:szCs w:val="24"/>
        </w:rPr>
        <w:t>’. _</w:t>
      </w:r>
      <w:r w:rsidRPr="00FF5C45">
        <w:rPr>
          <w:rFonts w:cstheme="minorHAnsi"/>
          <w:sz w:val="24"/>
          <w:szCs w:val="24"/>
        </w:rPr>
        <w:t>Women: A Cultural Review</w:t>
      </w:r>
      <w:r w:rsidR="00FF5C45" w:rsidRPr="00FF5C45">
        <w:rPr>
          <w:rFonts w:cstheme="minorHAnsi"/>
          <w:sz w:val="24"/>
          <w:szCs w:val="24"/>
        </w:rPr>
        <w:t>_</w:t>
      </w:r>
      <w:r w:rsidRPr="00FF5C45">
        <w:rPr>
          <w:rFonts w:cstheme="minorHAnsi"/>
          <w:sz w:val="24"/>
          <w:szCs w:val="24"/>
        </w:rPr>
        <w:t>.</w:t>
      </w:r>
      <w:r w:rsidRPr="00FF5C45">
        <w:rPr>
          <w:rFonts w:cstheme="minorHAnsi"/>
          <w:sz w:val="24"/>
          <w:szCs w:val="24"/>
        </w:rPr>
        <w:t xml:space="preserve"> 28:1-2</w:t>
      </w:r>
      <w:r w:rsidRPr="00FF5C45">
        <w:rPr>
          <w:rFonts w:cstheme="minorHAnsi"/>
          <w:sz w:val="24"/>
          <w:szCs w:val="24"/>
        </w:rPr>
        <w:t xml:space="preserve">. </w:t>
      </w:r>
      <w:r w:rsidRPr="00FF5C45">
        <w:rPr>
          <w:rFonts w:cstheme="minorHAnsi"/>
          <w:sz w:val="24"/>
          <w:szCs w:val="24"/>
        </w:rPr>
        <w:t>22-39</w:t>
      </w:r>
      <w:r w:rsidRPr="00FF5C45">
        <w:rPr>
          <w:rFonts w:cstheme="minorHAnsi"/>
          <w:sz w:val="24"/>
          <w:szCs w:val="24"/>
        </w:rPr>
        <w:t>.</w:t>
      </w:r>
    </w:p>
    <w:p w:rsidR="00FF5C45" w:rsidRPr="00FF5C45" w:rsidRDefault="00FF5C45" w:rsidP="009D0E3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D0E3A" w:rsidRPr="00FF5C45" w:rsidRDefault="009D0E3A" w:rsidP="009D0E3A">
      <w:pPr>
        <w:spacing w:after="0" w:line="360" w:lineRule="atLeast"/>
        <w:textAlignment w:val="baseline"/>
        <w:rPr>
          <w:rFonts w:eastAsia="Times New Roman" w:cstheme="minorHAnsi"/>
          <w:color w:val="2A2A2A"/>
          <w:sz w:val="24"/>
          <w:szCs w:val="24"/>
          <w:lang w:eastAsia="en-GB"/>
        </w:rPr>
      </w:pPr>
      <w:proofErr w:type="spellStart"/>
      <w:r w:rsidRPr="009D0E3A">
        <w:rPr>
          <w:rFonts w:eastAsia="Times New Roman" w:cstheme="minorHAnsi"/>
          <w:color w:val="2A2A2A"/>
          <w:sz w:val="24"/>
          <w:szCs w:val="24"/>
          <w:lang w:eastAsia="en-GB"/>
        </w:rPr>
        <w:t>Scheuerle</w:t>
      </w:r>
      <w:proofErr w:type="spellEnd"/>
      <w:r w:rsidRPr="00FF5C45">
        <w:rPr>
          <w:rFonts w:eastAsia="Times New Roman" w:cstheme="minorHAnsi"/>
          <w:color w:val="2A2A2A"/>
          <w:sz w:val="24"/>
          <w:szCs w:val="24"/>
          <w:lang w:eastAsia="en-GB"/>
        </w:rPr>
        <w:t xml:space="preserve">, William H. Alfred Austin </w:t>
      </w:r>
      <w:r w:rsidRPr="00FF5C45">
        <w:rPr>
          <w:rFonts w:cstheme="minorHAnsi"/>
          <w:color w:val="2A2A2A"/>
          <w:sz w:val="24"/>
          <w:szCs w:val="24"/>
          <w:shd w:val="clear" w:color="auto" w:fill="FFFFFF"/>
        </w:rPr>
        <w:t>(</w:t>
      </w:r>
      <w:r w:rsidRPr="00FF5C45">
        <w:rPr>
          <w:rStyle w:val="date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1835–1913</w:t>
      </w:r>
      <w:r w:rsidRPr="00FF5C45">
        <w:rPr>
          <w:rFonts w:cstheme="minorHAnsi"/>
          <w:color w:val="2A2A2A"/>
          <w:sz w:val="24"/>
          <w:szCs w:val="24"/>
          <w:shd w:val="clear" w:color="auto" w:fill="FFFFFF"/>
        </w:rPr>
        <w:t>)</w:t>
      </w:r>
      <w:r w:rsidRPr="00FF5C45">
        <w:rPr>
          <w:rFonts w:cstheme="minorHAnsi"/>
          <w:color w:val="2A2A2A"/>
          <w:sz w:val="24"/>
          <w:szCs w:val="24"/>
          <w:shd w:val="clear" w:color="auto" w:fill="FFFFFF"/>
        </w:rPr>
        <w:t>. _Dictionary of National Biography_. 2008.</w:t>
      </w:r>
    </w:p>
    <w:p w:rsidR="009D0E3A" w:rsidRPr="00FF5C45" w:rsidRDefault="009D0E3A" w:rsidP="009D0E3A">
      <w:pPr>
        <w:spacing w:after="0" w:line="360" w:lineRule="atLeast"/>
        <w:textAlignment w:val="baseline"/>
        <w:rPr>
          <w:rFonts w:cstheme="minorHAnsi"/>
          <w:bCs/>
          <w:sz w:val="24"/>
          <w:szCs w:val="24"/>
        </w:rPr>
      </w:pPr>
    </w:p>
    <w:p w:rsidR="00BB2CAC" w:rsidRDefault="00BB2CAC" w:rsidP="003D3A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Unattributed. </w:t>
      </w:r>
      <w:proofErr w:type="gramStart"/>
      <w:r w:rsidRPr="00FF5C45">
        <w:rPr>
          <w:rFonts w:cstheme="minorHAnsi"/>
          <w:sz w:val="24"/>
          <w:szCs w:val="24"/>
        </w:rPr>
        <w:t>_</w:t>
      </w:r>
      <w:proofErr w:type="gramEnd"/>
      <w:r w:rsidRPr="00FF5C45">
        <w:rPr>
          <w:rFonts w:cstheme="minorHAnsi"/>
          <w:sz w:val="24"/>
          <w:szCs w:val="24"/>
        </w:rPr>
        <w:t xml:space="preserve">Thanet Advertiser_. </w:t>
      </w:r>
      <w:r>
        <w:rPr>
          <w:rFonts w:cstheme="minorHAnsi"/>
          <w:sz w:val="24"/>
          <w:szCs w:val="24"/>
        </w:rPr>
        <w:t>1 February 1896. 5.</w:t>
      </w:r>
    </w:p>
    <w:p w:rsidR="003D3A2C" w:rsidRDefault="003D3A2C" w:rsidP="003D3A2C">
      <w:pPr>
        <w:rPr>
          <w:rFonts w:cstheme="minorHAnsi"/>
          <w:bCs/>
          <w:sz w:val="24"/>
          <w:szCs w:val="24"/>
        </w:rPr>
      </w:pPr>
      <w:r w:rsidRPr="00FF5C45">
        <w:rPr>
          <w:rFonts w:cstheme="minorHAnsi"/>
          <w:bCs/>
          <w:sz w:val="24"/>
          <w:szCs w:val="24"/>
        </w:rPr>
        <w:t xml:space="preserve">Walker, Jennifer. </w:t>
      </w:r>
      <w:r w:rsidR="009D0E3A" w:rsidRPr="00FF5C45">
        <w:rPr>
          <w:rFonts w:cstheme="minorHAnsi"/>
          <w:bCs/>
          <w:sz w:val="24"/>
          <w:szCs w:val="24"/>
        </w:rPr>
        <w:t>_</w:t>
      </w:r>
      <w:r w:rsidRPr="00FF5C45">
        <w:rPr>
          <w:rFonts w:cstheme="minorHAnsi"/>
          <w:bCs/>
          <w:i/>
          <w:iCs/>
          <w:sz w:val="24"/>
          <w:szCs w:val="24"/>
        </w:rPr>
        <w:t xml:space="preserve">Elizabeth of the German Garden: </w:t>
      </w:r>
      <w:proofErr w:type="gramStart"/>
      <w:r w:rsidRPr="00FF5C45">
        <w:rPr>
          <w:rFonts w:cstheme="minorHAnsi"/>
          <w:bCs/>
          <w:i/>
          <w:iCs/>
          <w:sz w:val="24"/>
          <w:szCs w:val="24"/>
        </w:rPr>
        <w:t>a</w:t>
      </w:r>
      <w:proofErr w:type="gramEnd"/>
      <w:r w:rsidRPr="00FF5C45">
        <w:rPr>
          <w:rFonts w:cstheme="minorHAnsi"/>
          <w:bCs/>
          <w:i/>
          <w:iCs/>
          <w:sz w:val="24"/>
          <w:szCs w:val="24"/>
        </w:rPr>
        <w:t xml:space="preserve"> Literary Journey</w:t>
      </w:r>
      <w:r w:rsidR="009D0E3A" w:rsidRPr="00FF5C45">
        <w:rPr>
          <w:rFonts w:cstheme="minorHAnsi"/>
          <w:bCs/>
          <w:i/>
          <w:iCs/>
          <w:sz w:val="24"/>
          <w:szCs w:val="24"/>
        </w:rPr>
        <w:t>_</w:t>
      </w:r>
      <w:r w:rsidRPr="00FF5C45">
        <w:rPr>
          <w:rFonts w:cstheme="minorHAnsi"/>
          <w:bCs/>
          <w:sz w:val="24"/>
          <w:szCs w:val="24"/>
        </w:rPr>
        <w:t xml:space="preserve">. Brighton: </w:t>
      </w:r>
      <w:proofErr w:type="gramStart"/>
      <w:r w:rsidRPr="00FF5C45">
        <w:rPr>
          <w:rFonts w:cstheme="minorHAnsi"/>
          <w:bCs/>
          <w:sz w:val="24"/>
          <w:szCs w:val="24"/>
        </w:rPr>
        <w:t>the</w:t>
      </w:r>
      <w:proofErr w:type="gramEnd"/>
      <w:r w:rsidRPr="00FF5C45">
        <w:rPr>
          <w:rFonts w:cstheme="minorHAnsi"/>
          <w:bCs/>
          <w:sz w:val="24"/>
          <w:szCs w:val="24"/>
        </w:rPr>
        <w:t xml:space="preserve"> Book Guild, 2013.</w:t>
      </w:r>
    </w:p>
    <w:p w:rsidR="00BB2CAC" w:rsidRDefault="002664A2" w:rsidP="00BB2CAC">
      <w:pPr>
        <w:rPr>
          <w:sz w:val="24"/>
          <w:szCs w:val="24"/>
        </w:rPr>
      </w:pPr>
      <w:r>
        <w:rPr>
          <w:rFonts w:cstheme="minorHAnsi"/>
          <w:bCs/>
          <w:sz w:val="24"/>
          <w:szCs w:val="24"/>
        </w:rPr>
        <w:t>[</w:t>
      </w:r>
      <w:r w:rsidR="00BB2CAC">
        <w:rPr>
          <w:rFonts w:cstheme="minorHAnsi"/>
          <w:bCs/>
          <w:sz w:val="24"/>
          <w:szCs w:val="24"/>
        </w:rPr>
        <w:t>Catalogue of the Complete Library of the Late Alfred Austin.</w:t>
      </w:r>
      <w:r>
        <w:rPr>
          <w:rFonts w:cstheme="minorHAnsi"/>
          <w:bCs/>
          <w:sz w:val="24"/>
          <w:szCs w:val="24"/>
        </w:rPr>
        <w:t>](</w:t>
      </w:r>
      <w:hyperlink r:id="rId8" w:history="1">
        <w:r w:rsidR="00BB2CAC" w:rsidRPr="008F6D6F">
          <w:rPr>
            <w:rStyle w:val="Hyperlink"/>
            <w:sz w:val="24"/>
            <w:szCs w:val="24"/>
          </w:rPr>
          <w:t>https://babel.hathitrust.org/cgi/pt?id=mdp.39015079885359&amp;view=1up&amp;seq=13&amp;skin=2021</w:t>
        </w:r>
      </w:hyperlink>
      <w:r>
        <w:rPr>
          <w:rStyle w:val="Hyperlink"/>
          <w:sz w:val="24"/>
          <w:szCs w:val="24"/>
        </w:rPr>
        <w:t>)</w:t>
      </w:r>
    </w:p>
    <w:p w:rsidR="003D3A2C" w:rsidRPr="00FF5C45" w:rsidRDefault="003D3A2C">
      <w:pPr>
        <w:rPr>
          <w:rFonts w:cstheme="minorHAnsi"/>
          <w:sz w:val="24"/>
          <w:szCs w:val="24"/>
        </w:rPr>
      </w:pPr>
    </w:p>
    <w:sectPr w:rsidR="003D3A2C" w:rsidRPr="00FF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5A4" w:rsidRDefault="006145A4" w:rsidP="008E7868">
      <w:pPr>
        <w:spacing w:after="0" w:line="240" w:lineRule="auto"/>
      </w:pPr>
      <w:r>
        <w:separator/>
      </w:r>
    </w:p>
  </w:endnote>
  <w:endnote w:type="continuationSeparator" w:id="0">
    <w:p w:rsidR="006145A4" w:rsidRDefault="006145A4" w:rsidP="008E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5A4" w:rsidRDefault="006145A4" w:rsidP="008E7868">
      <w:pPr>
        <w:spacing w:after="0" w:line="240" w:lineRule="auto"/>
      </w:pPr>
      <w:r>
        <w:separator/>
      </w:r>
    </w:p>
  </w:footnote>
  <w:footnote w:type="continuationSeparator" w:id="0">
    <w:p w:rsidR="006145A4" w:rsidRDefault="006145A4" w:rsidP="008E7868">
      <w:pPr>
        <w:spacing w:after="0" w:line="240" w:lineRule="auto"/>
      </w:pPr>
      <w:r>
        <w:continuationSeparator/>
      </w:r>
    </w:p>
  </w:footnote>
  <w:footnote w:id="1">
    <w:p w:rsidR="008E7868" w:rsidRDefault="008E7868">
      <w:pPr>
        <w:pStyle w:val="FootnoteText"/>
      </w:pPr>
      <w:r>
        <w:rPr>
          <w:rStyle w:val="FootnoteReference"/>
        </w:rPr>
        <w:footnoteRef/>
      </w:r>
      <w:r>
        <w:t xml:space="preserve"> ‘Alfred Austin: </w:t>
      </w:r>
      <w:proofErr w:type="gramStart"/>
      <w:r>
        <w:t>the</w:t>
      </w:r>
      <w:proofErr w:type="gramEnd"/>
      <w:r>
        <w:t xml:space="preserve"> New Poet Laureate’. 148.</w:t>
      </w:r>
    </w:p>
  </w:footnote>
  <w:footnote w:id="2">
    <w:p w:rsidR="008E7868" w:rsidRDefault="008E78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‘Alfred Austin: </w:t>
      </w:r>
      <w:proofErr w:type="gramStart"/>
      <w:r>
        <w:t>the</w:t>
      </w:r>
      <w:proofErr w:type="gramEnd"/>
      <w:r>
        <w:t xml:space="preserve"> New Poet Laureate’. 148.</w:t>
      </w:r>
    </w:p>
  </w:footnote>
  <w:footnote w:id="3">
    <w:p w:rsidR="008E7868" w:rsidRDefault="008E78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‘Alfred Austin: </w:t>
      </w:r>
      <w:proofErr w:type="gramStart"/>
      <w:r>
        <w:t>the</w:t>
      </w:r>
      <w:proofErr w:type="gramEnd"/>
      <w:r>
        <w:t xml:space="preserve"> New Poet Laureate’. 1</w:t>
      </w:r>
      <w:r>
        <w:t>50</w:t>
      </w:r>
      <w:r>
        <w:t>.</w:t>
      </w:r>
    </w:p>
  </w:footnote>
  <w:footnote w:id="4">
    <w:p w:rsidR="003D3A2C" w:rsidRDefault="003D3A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D3A2C">
        <w:rPr>
          <w:i/>
        </w:rPr>
        <w:t>The Garden That I Love</w:t>
      </w:r>
      <w:r>
        <w:t>, 28.</w:t>
      </w:r>
    </w:p>
  </w:footnote>
  <w:footnote w:id="5">
    <w:p w:rsidR="003D3A2C" w:rsidRDefault="003D3A2C">
      <w:pPr>
        <w:pStyle w:val="FootnoteText"/>
      </w:pPr>
      <w:r>
        <w:rPr>
          <w:rStyle w:val="FootnoteReference"/>
        </w:rPr>
        <w:footnoteRef/>
      </w:r>
      <w:r>
        <w:t xml:space="preserve"> Walker 46-7.</w:t>
      </w:r>
    </w:p>
  </w:footnote>
  <w:footnote w:id="6">
    <w:p w:rsidR="003D3A2C" w:rsidRDefault="003D3A2C">
      <w:pPr>
        <w:pStyle w:val="FootnoteText"/>
      </w:pPr>
      <w:r>
        <w:rPr>
          <w:rStyle w:val="FootnoteReference"/>
        </w:rPr>
        <w:footnoteRef/>
      </w:r>
      <w:r>
        <w:t xml:space="preserve"> Walker 55.</w:t>
      </w:r>
    </w:p>
  </w:footnote>
  <w:footnote w:id="7">
    <w:p w:rsidR="007474BA" w:rsidRDefault="007474BA" w:rsidP="007474BA">
      <w:pPr>
        <w:pStyle w:val="FootnoteText"/>
      </w:pPr>
      <w:r>
        <w:rPr>
          <w:rStyle w:val="FootnoteReference"/>
        </w:rPr>
        <w:footnoteRef/>
      </w:r>
      <w:r>
        <w:t xml:space="preserve"> ‘The Cherub’. 5.</w:t>
      </w:r>
    </w:p>
  </w:footnote>
  <w:footnote w:id="8">
    <w:p w:rsidR="00BB2CAC" w:rsidRDefault="00BB2CAC">
      <w:pPr>
        <w:pStyle w:val="FootnoteText"/>
      </w:pPr>
      <w:r>
        <w:rPr>
          <w:rStyle w:val="FootnoteReference"/>
        </w:rPr>
        <w:footnoteRef/>
      </w:r>
      <w:r>
        <w:t xml:space="preserve"> 1 February 1896. 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A494B"/>
    <w:multiLevelType w:val="multilevel"/>
    <w:tmpl w:val="FD06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7B"/>
    <w:rsid w:val="00026C7B"/>
    <w:rsid w:val="001157FD"/>
    <w:rsid w:val="00197A65"/>
    <w:rsid w:val="001B1ECE"/>
    <w:rsid w:val="002664A2"/>
    <w:rsid w:val="00322471"/>
    <w:rsid w:val="00355233"/>
    <w:rsid w:val="00390310"/>
    <w:rsid w:val="003D3A2C"/>
    <w:rsid w:val="003F3CF0"/>
    <w:rsid w:val="004D6A53"/>
    <w:rsid w:val="005C79C0"/>
    <w:rsid w:val="006145A4"/>
    <w:rsid w:val="007474BA"/>
    <w:rsid w:val="008E7868"/>
    <w:rsid w:val="00935A15"/>
    <w:rsid w:val="009D0E3A"/>
    <w:rsid w:val="00AC3910"/>
    <w:rsid w:val="00BB2CAC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61F4"/>
  <w15:chartTrackingRefBased/>
  <w15:docId w15:val="{8D145C1F-564C-49CA-8FFC-E00E118B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E78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8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86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F3C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DefaultParagraphFont"/>
    <w:rsid w:val="003F3CF0"/>
  </w:style>
  <w:style w:type="character" w:customStyle="1" w:styleId="cbcontent">
    <w:name w:val="cb_content"/>
    <w:basedOn w:val="DefaultParagraphFont"/>
    <w:rsid w:val="00322471"/>
  </w:style>
  <w:style w:type="character" w:customStyle="1" w:styleId="date">
    <w:name w:val="date"/>
    <w:basedOn w:val="DefaultParagraphFont"/>
    <w:rsid w:val="009D0E3A"/>
  </w:style>
  <w:style w:type="character" w:styleId="Hyperlink">
    <w:name w:val="Hyperlink"/>
    <w:basedOn w:val="DefaultParagraphFont"/>
    <w:uiPriority w:val="99"/>
    <w:unhideWhenUsed/>
    <w:rsid w:val="00BB2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.hathitrust.org/cgi/pt?id=mdp.39015079885359&amp;view=1up&amp;seq=13&amp;skin=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EC82976-B6DC-4B60-B664-13E6A39F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12</cp:revision>
  <dcterms:created xsi:type="dcterms:W3CDTF">2022-11-17T10:17:00Z</dcterms:created>
  <dcterms:modified xsi:type="dcterms:W3CDTF">2022-11-17T13:25:00Z</dcterms:modified>
</cp:coreProperties>
</file>