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30953" w14:textId="692F43A2" w:rsidR="009E20C3" w:rsidRDefault="009E20C3" w:rsidP="009E20C3">
      <w:pPr>
        <w:spacing w:line="480" w:lineRule="auto"/>
        <w:rPr>
          <w:rFonts w:ascii="Arial" w:hAnsi="Arial" w:cs="Arial"/>
          <w:b/>
          <w:bCs/>
          <w:sz w:val="24"/>
          <w:szCs w:val="24"/>
        </w:rPr>
      </w:pPr>
      <w:r w:rsidRPr="009E20C3">
        <w:rPr>
          <w:rFonts w:ascii="Arial" w:hAnsi="Arial" w:cs="Arial"/>
          <w:b/>
          <w:bCs/>
          <w:sz w:val="24"/>
          <w:szCs w:val="24"/>
        </w:rPr>
        <w:t>Chatham convict prison</w:t>
      </w:r>
    </w:p>
    <w:p w14:paraId="55429C41" w14:textId="1171CC82" w:rsidR="0009399C" w:rsidRPr="009E20C3" w:rsidRDefault="0009399C" w:rsidP="009E20C3">
      <w:pPr>
        <w:spacing w:line="480" w:lineRule="auto"/>
        <w:rPr>
          <w:rFonts w:ascii="Arial" w:hAnsi="Arial" w:cs="Arial"/>
          <w:b/>
          <w:bCs/>
          <w:sz w:val="24"/>
          <w:szCs w:val="24"/>
        </w:rPr>
      </w:pPr>
      <w:r>
        <w:rPr>
          <w:rFonts w:ascii="Arial" w:hAnsi="Arial" w:cs="Arial"/>
          <w:b/>
          <w:bCs/>
          <w:sz w:val="24"/>
          <w:szCs w:val="24"/>
        </w:rPr>
        <w:t>Dr Ben Bethell</w:t>
      </w:r>
    </w:p>
    <w:p w14:paraId="7C697F8E" w14:textId="31856A9E" w:rsidR="009E20C3" w:rsidRPr="009E20C3" w:rsidRDefault="009E20C3" w:rsidP="009E20C3">
      <w:pPr>
        <w:spacing w:line="480" w:lineRule="auto"/>
        <w:rPr>
          <w:rFonts w:ascii="Arial" w:hAnsi="Arial" w:cs="Arial"/>
          <w:sz w:val="24"/>
          <w:szCs w:val="24"/>
        </w:rPr>
      </w:pPr>
      <w:r w:rsidRPr="009E20C3">
        <w:rPr>
          <w:rFonts w:ascii="Arial" w:hAnsi="Arial" w:cs="Arial"/>
          <w:sz w:val="24"/>
          <w:szCs w:val="24"/>
        </w:rPr>
        <w:t>Chatham convict prison opened in 1856</w:t>
      </w:r>
      <w:r w:rsidR="00571869" w:rsidRPr="00571869">
        <w:rPr>
          <w:rFonts w:ascii="Arial" w:hAnsi="Arial" w:cs="Arial"/>
          <w:sz w:val="24"/>
          <w:szCs w:val="24"/>
        </w:rPr>
        <w:t xml:space="preserve">. </w:t>
      </w:r>
      <w:r w:rsidR="00571869">
        <w:rPr>
          <w:rFonts w:ascii="Arial" w:hAnsi="Arial" w:cs="Arial"/>
          <w:sz w:val="24"/>
          <w:szCs w:val="24"/>
        </w:rPr>
        <w:t xml:space="preserve">It was </w:t>
      </w:r>
      <w:r w:rsidRPr="00571869">
        <w:rPr>
          <w:rFonts w:ascii="Arial" w:hAnsi="Arial" w:cs="Arial"/>
          <w:sz w:val="24"/>
          <w:szCs w:val="24"/>
        </w:rPr>
        <w:t xml:space="preserve">a </w:t>
      </w:r>
      <w:r w:rsidRPr="00571869">
        <w:rPr>
          <w:rFonts w:ascii="Arial" w:hAnsi="Arial" w:cs="Arial"/>
          <w:sz w:val="24"/>
          <w:szCs w:val="24"/>
          <w:u w:val="single"/>
        </w:rPr>
        <w:t xml:space="preserve">‘public works’ </w:t>
      </w:r>
      <w:r w:rsidR="00571869">
        <w:rPr>
          <w:rFonts w:ascii="Arial" w:hAnsi="Arial" w:cs="Arial"/>
          <w:sz w:val="24"/>
          <w:szCs w:val="24"/>
          <w:u w:val="single"/>
        </w:rPr>
        <w:t>prison</w:t>
      </w:r>
      <w:r w:rsidR="00571869">
        <w:rPr>
          <w:rFonts w:ascii="Arial" w:hAnsi="Arial" w:cs="Arial"/>
          <w:sz w:val="24"/>
          <w:szCs w:val="24"/>
        </w:rPr>
        <w:t xml:space="preserve">, </w:t>
      </w:r>
      <w:r w:rsidRPr="00571869">
        <w:rPr>
          <w:rFonts w:ascii="Arial" w:hAnsi="Arial" w:cs="Arial"/>
          <w:sz w:val="24"/>
          <w:szCs w:val="24"/>
        </w:rPr>
        <w:t xml:space="preserve">built to accommodate convicts who would hitherto have been sentenced to transportation. Its architect, </w:t>
      </w:r>
      <w:r w:rsidR="0009399C">
        <w:rPr>
          <w:rFonts w:ascii="Arial" w:hAnsi="Arial" w:cs="Arial"/>
          <w:sz w:val="24"/>
          <w:szCs w:val="24"/>
        </w:rPr>
        <w:t>[</w:t>
      </w:r>
      <w:hyperlink r:id="rId6" w:history="1">
        <w:r w:rsidRPr="00571869">
          <w:rPr>
            <w:rFonts w:ascii="Arial" w:hAnsi="Arial" w:cs="Arial"/>
            <w:color w:val="0563C1" w:themeColor="hyperlink"/>
            <w:sz w:val="24"/>
            <w:szCs w:val="24"/>
            <w:u w:val="single"/>
          </w:rPr>
          <w:t>Major-G</w:t>
        </w:r>
        <w:r w:rsidRPr="00571869">
          <w:rPr>
            <w:rFonts w:ascii="Arial" w:hAnsi="Arial" w:cs="Arial"/>
            <w:color w:val="0563C1" w:themeColor="hyperlink"/>
            <w:sz w:val="24"/>
            <w:szCs w:val="24"/>
            <w:u w:val="single"/>
          </w:rPr>
          <w:t>e</w:t>
        </w:r>
        <w:r w:rsidRPr="00571869">
          <w:rPr>
            <w:rFonts w:ascii="Arial" w:hAnsi="Arial" w:cs="Arial"/>
            <w:color w:val="0563C1" w:themeColor="hyperlink"/>
            <w:sz w:val="24"/>
            <w:szCs w:val="24"/>
            <w:u w:val="single"/>
          </w:rPr>
          <w:t>neral Sir Joshua Jebb</w:t>
        </w:r>
      </w:hyperlink>
      <w:r w:rsidR="0009399C">
        <w:rPr>
          <w:rFonts w:ascii="Arial" w:hAnsi="Arial" w:cs="Arial"/>
          <w:color w:val="0563C1" w:themeColor="hyperlink"/>
          <w:sz w:val="24"/>
          <w:szCs w:val="24"/>
          <w:u w:val="single"/>
        </w:rPr>
        <w:t>](</w:t>
      </w:r>
      <w:r w:rsidR="0009399C" w:rsidRPr="0009399C">
        <w:t xml:space="preserve"> </w:t>
      </w:r>
      <w:r w:rsidR="0009399C" w:rsidRPr="0009399C">
        <w:rPr>
          <w:rFonts w:ascii="Arial" w:hAnsi="Arial" w:cs="Arial"/>
          <w:color w:val="0563C1" w:themeColor="hyperlink"/>
          <w:sz w:val="24"/>
          <w:szCs w:val="24"/>
          <w:u w:val="single"/>
        </w:rPr>
        <w:t>https://en.wikipedia.org/wiki/Joshua_Jebb</w:t>
      </w:r>
      <w:r w:rsidR="0009399C">
        <w:rPr>
          <w:rFonts w:ascii="Arial" w:hAnsi="Arial" w:cs="Arial"/>
          <w:color w:val="0563C1" w:themeColor="hyperlink"/>
          <w:sz w:val="24"/>
          <w:szCs w:val="24"/>
          <w:u w:val="single"/>
        </w:rPr>
        <w:t>)</w:t>
      </w:r>
      <w:r w:rsidRPr="00571869">
        <w:rPr>
          <w:rFonts w:ascii="Arial" w:hAnsi="Arial" w:cs="Arial"/>
          <w:sz w:val="24"/>
          <w:szCs w:val="24"/>
        </w:rPr>
        <w:t>, Surveyor-General of English prisons</w:t>
      </w:r>
      <w:r w:rsidRPr="009E20C3">
        <w:rPr>
          <w:rFonts w:ascii="Arial" w:hAnsi="Arial" w:cs="Arial"/>
          <w:sz w:val="24"/>
          <w:szCs w:val="24"/>
        </w:rPr>
        <w:t xml:space="preserve">, planned to use convict labour to build a network of coastal defences extending downriver from London and along the South Coast. The prison was therefore situated at the mouth of the </w:t>
      </w:r>
      <w:r w:rsidRPr="00440181">
        <w:rPr>
          <w:rFonts w:ascii="Arial" w:hAnsi="Arial" w:cs="Arial"/>
          <w:sz w:val="24"/>
          <w:szCs w:val="24"/>
        </w:rPr>
        <w:t xml:space="preserve">River Medway’s </w:t>
      </w:r>
      <w:r w:rsidRPr="009E20C3">
        <w:rPr>
          <w:rFonts w:ascii="Arial" w:hAnsi="Arial" w:cs="Arial"/>
          <w:sz w:val="24"/>
          <w:szCs w:val="24"/>
        </w:rPr>
        <w:t xml:space="preserve">estuary, facing a creek separating </w:t>
      </w:r>
      <w:r w:rsidRPr="00440181">
        <w:rPr>
          <w:rFonts w:ascii="Arial" w:hAnsi="Arial" w:cs="Arial"/>
          <w:sz w:val="24"/>
          <w:szCs w:val="24"/>
        </w:rPr>
        <w:t xml:space="preserve">St Mary’s Island </w:t>
      </w:r>
      <w:r w:rsidRPr="009E20C3">
        <w:rPr>
          <w:rFonts w:ascii="Arial" w:hAnsi="Arial" w:cs="Arial"/>
          <w:sz w:val="24"/>
          <w:szCs w:val="24"/>
        </w:rPr>
        <w:t xml:space="preserve">from the mainland, </w:t>
      </w:r>
      <w:r w:rsidR="004E047A">
        <w:rPr>
          <w:rFonts w:ascii="Arial" w:hAnsi="Arial" w:cs="Arial"/>
          <w:sz w:val="24"/>
          <w:szCs w:val="24"/>
        </w:rPr>
        <w:t>along which</w:t>
      </w:r>
      <w:r w:rsidRPr="009E20C3">
        <w:rPr>
          <w:rFonts w:ascii="Arial" w:hAnsi="Arial" w:cs="Arial"/>
          <w:sz w:val="24"/>
          <w:szCs w:val="24"/>
        </w:rPr>
        <w:t xml:space="preserve"> convicts excavated and built three colossal dockyard basins.</w:t>
      </w:r>
      <w:r w:rsidR="008C421A">
        <w:rPr>
          <w:rFonts w:ascii="Arial" w:hAnsi="Arial" w:cs="Arial"/>
          <w:sz w:val="24"/>
          <w:szCs w:val="24"/>
        </w:rPr>
        <w:t xml:space="preserve"> </w:t>
      </w:r>
      <w:r w:rsidRPr="009E20C3">
        <w:rPr>
          <w:rFonts w:ascii="Arial" w:hAnsi="Arial" w:cs="Arial"/>
          <w:sz w:val="24"/>
          <w:szCs w:val="24"/>
        </w:rPr>
        <w:t xml:space="preserve">This task took over twenty-five years to complete, quadrupling the size of </w:t>
      </w:r>
      <w:r w:rsidR="0009399C">
        <w:rPr>
          <w:rFonts w:ascii="Arial" w:hAnsi="Arial" w:cs="Arial"/>
          <w:sz w:val="24"/>
          <w:szCs w:val="24"/>
        </w:rPr>
        <w:t xml:space="preserve">[Chatham </w:t>
      </w:r>
      <w:proofErr w:type="gramStart"/>
      <w:r w:rsidR="0009399C">
        <w:rPr>
          <w:rFonts w:ascii="Arial" w:hAnsi="Arial" w:cs="Arial"/>
          <w:sz w:val="24"/>
          <w:szCs w:val="24"/>
        </w:rPr>
        <w:t>Dockyard](</w:t>
      </w:r>
      <w:proofErr w:type="gramEnd"/>
      <w:r w:rsidR="0009399C" w:rsidRPr="0009399C">
        <w:t xml:space="preserve"> </w:t>
      </w:r>
      <w:r w:rsidR="0009399C" w:rsidRPr="0009399C">
        <w:rPr>
          <w:rFonts w:ascii="Arial" w:hAnsi="Arial" w:cs="Arial"/>
          <w:sz w:val="24"/>
          <w:szCs w:val="24"/>
        </w:rPr>
        <w:t>/19c/19c-chatham-dockyard</w:t>
      </w:r>
      <w:r w:rsidR="0009399C">
        <w:rPr>
          <w:rFonts w:ascii="Arial" w:hAnsi="Arial" w:cs="Arial"/>
          <w:sz w:val="24"/>
          <w:szCs w:val="24"/>
        </w:rPr>
        <w:t>)</w:t>
      </w:r>
      <w:r w:rsidRPr="00440181">
        <w:rPr>
          <w:rFonts w:ascii="Arial" w:hAnsi="Arial" w:cs="Arial"/>
          <w:sz w:val="24"/>
          <w:szCs w:val="24"/>
        </w:rPr>
        <w:t xml:space="preserve">. </w:t>
      </w:r>
      <w:r w:rsidRPr="009E20C3">
        <w:rPr>
          <w:rFonts w:ascii="Arial" w:hAnsi="Arial" w:cs="Arial"/>
          <w:sz w:val="24"/>
          <w:szCs w:val="24"/>
        </w:rPr>
        <w:t>Holding upwards of 1,600 men, the prison was initially constructed from prefabricated wood and corrugated iron sections - literally, a ‘flat pack’, designed to be dismantled and moved elsewhere once work at the site eventually finished.</w:t>
      </w:r>
    </w:p>
    <w:p w14:paraId="764F5295" w14:textId="7A0CF8A6" w:rsidR="009E20C3" w:rsidRPr="009E20C3" w:rsidRDefault="009E20C3" w:rsidP="009E20C3">
      <w:pPr>
        <w:spacing w:line="480" w:lineRule="auto"/>
        <w:rPr>
          <w:rFonts w:ascii="Arial" w:hAnsi="Arial" w:cs="Arial"/>
          <w:b/>
          <w:bCs/>
          <w:color w:val="FF0000"/>
          <w:sz w:val="24"/>
          <w:szCs w:val="24"/>
        </w:rPr>
      </w:pPr>
      <w:r w:rsidRPr="009E20C3">
        <w:rPr>
          <w:rFonts w:ascii="Arial" w:hAnsi="Arial" w:cs="Arial"/>
          <w:sz w:val="24"/>
          <w:szCs w:val="24"/>
        </w:rPr>
        <w:t xml:space="preserve">     Only five years later, in 1861, a riot broke out involving over 800 convicts. Both Jebb and the prison’s governor blamed the ‘Chatham Mutiny’ on a ‘gang of desperate burglars’ whose escape plot they had foiled, and who then set about fomenting discontent among fellow prisoners. A day </w:t>
      </w:r>
      <w:r w:rsidR="00BC49FC">
        <w:rPr>
          <w:rFonts w:ascii="Arial" w:hAnsi="Arial" w:cs="Arial"/>
          <w:sz w:val="24"/>
          <w:szCs w:val="24"/>
        </w:rPr>
        <w:t>before the riot</w:t>
      </w:r>
      <w:r w:rsidRPr="009E20C3">
        <w:rPr>
          <w:rFonts w:ascii="Arial" w:hAnsi="Arial" w:cs="Arial"/>
          <w:sz w:val="24"/>
          <w:szCs w:val="24"/>
        </w:rPr>
        <w:t>, following a dispute over soup rations, a convict described by</w:t>
      </w:r>
      <w:r w:rsidR="004E047A">
        <w:rPr>
          <w:rFonts w:ascii="Arial" w:hAnsi="Arial" w:cs="Arial"/>
          <w:sz w:val="24"/>
          <w:szCs w:val="24"/>
        </w:rPr>
        <w:t xml:space="preserve"> the governor</w:t>
      </w:r>
      <w:r w:rsidRPr="009E20C3">
        <w:rPr>
          <w:rFonts w:ascii="Arial" w:hAnsi="Arial" w:cs="Arial"/>
          <w:sz w:val="24"/>
          <w:szCs w:val="24"/>
        </w:rPr>
        <w:t xml:space="preserve"> as a ‘daring ruffian’ leapt upon a mess table, ‘made a violent harangue to the other men … dashed his dinner among them, and said it was not fit for pigs.’ When a similar incident occurred on the prison’s parade ground the following afternoon, the ‘spark of insubordination … thrown on the inflammable minds of the convicts, spread like wildfire’. The rioters </w:t>
      </w:r>
      <w:r w:rsidRPr="009E20C3">
        <w:rPr>
          <w:rFonts w:ascii="Arial" w:hAnsi="Arial" w:cs="Arial"/>
          <w:sz w:val="24"/>
          <w:szCs w:val="24"/>
        </w:rPr>
        <w:lastRenderedPageBreak/>
        <w:t>ran amok for three hours before troops finally arrived, destroying ‘nearly everything they could possibly destroy … the stoves, the clocks, and every pane of glass … the chief warden’s office, and every record in it’.</w:t>
      </w:r>
      <w:r w:rsidRPr="009E20C3">
        <w:rPr>
          <w:rFonts w:ascii="Arial" w:hAnsi="Arial" w:cs="Arial"/>
          <w:sz w:val="24"/>
          <w:szCs w:val="24"/>
          <w:vertAlign w:val="superscript"/>
        </w:rPr>
        <w:footnoteReference w:id="1"/>
      </w:r>
    </w:p>
    <w:p w14:paraId="7BF92D2E" w14:textId="77777777" w:rsidR="007C2C34" w:rsidRDefault="009E20C3" w:rsidP="009E20C3">
      <w:pPr>
        <w:spacing w:line="480" w:lineRule="auto"/>
        <w:rPr>
          <w:rFonts w:ascii="Arial" w:hAnsi="Arial" w:cs="Arial"/>
          <w:sz w:val="24"/>
          <w:szCs w:val="24"/>
        </w:rPr>
      </w:pPr>
      <w:r w:rsidRPr="009E20C3">
        <w:rPr>
          <w:rFonts w:ascii="Arial" w:hAnsi="Arial" w:cs="Arial"/>
          <w:sz w:val="24"/>
          <w:szCs w:val="24"/>
        </w:rPr>
        <w:t xml:space="preserve">     During the decades that followed, incidents of violence and disorder continued: in 1882, an assistant warder at Chatham claimed that attacks upon staff ‘with the fist, stones, bricks, &amp;c. are of almost daily occurrence.’</w:t>
      </w:r>
      <w:r w:rsidRPr="009E20C3">
        <w:rPr>
          <w:rFonts w:ascii="Arial" w:hAnsi="Arial" w:cs="Arial"/>
          <w:sz w:val="24"/>
          <w:szCs w:val="24"/>
          <w:vertAlign w:val="superscript"/>
        </w:rPr>
        <w:footnoteReference w:id="2"/>
      </w:r>
      <w:r w:rsidRPr="009E20C3">
        <w:rPr>
          <w:rFonts w:ascii="Arial" w:hAnsi="Arial" w:cs="Arial"/>
          <w:sz w:val="24"/>
          <w:szCs w:val="24"/>
        </w:rPr>
        <w:t xml:space="preserve"> By this time, the prison had acquired a fearsome reputation among convicts, who nicknamed it ‘the slaughterhouse</w:t>
      </w:r>
      <w:r w:rsidR="00571869">
        <w:rPr>
          <w:rFonts w:ascii="Arial" w:hAnsi="Arial" w:cs="Arial"/>
          <w:sz w:val="24"/>
          <w:szCs w:val="24"/>
        </w:rPr>
        <w:t>’</w:t>
      </w:r>
      <w:r w:rsidR="00BC49FC">
        <w:rPr>
          <w:rFonts w:ascii="Arial" w:hAnsi="Arial" w:cs="Arial"/>
          <w:sz w:val="24"/>
          <w:szCs w:val="24"/>
        </w:rPr>
        <w:t>. A</w:t>
      </w:r>
      <w:r w:rsidRPr="009E20C3">
        <w:rPr>
          <w:rFonts w:ascii="Arial" w:hAnsi="Arial" w:cs="Arial"/>
          <w:sz w:val="24"/>
          <w:szCs w:val="24"/>
        </w:rPr>
        <w:t>ccording to one senior prison official,</w:t>
      </w:r>
      <w:r w:rsidR="00571869">
        <w:rPr>
          <w:rFonts w:ascii="Arial" w:hAnsi="Arial" w:cs="Arial"/>
          <w:sz w:val="24"/>
          <w:szCs w:val="24"/>
        </w:rPr>
        <w:t xml:space="preserve"> </w:t>
      </w:r>
      <w:r w:rsidR="00BC49FC">
        <w:rPr>
          <w:rFonts w:ascii="Arial" w:hAnsi="Arial" w:cs="Arial"/>
          <w:sz w:val="24"/>
          <w:szCs w:val="24"/>
        </w:rPr>
        <w:t xml:space="preserve">they </w:t>
      </w:r>
      <w:r w:rsidR="00571869">
        <w:rPr>
          <w:rFonts w:ascii="Arial" w:hAnsi="Arial" w:cs="Arial"/>
          <w:sz w:val="24"/>
          <w:szCs w:val="24"/>
        </w:rPr>
        <w:t>were</w:t>
      </w:r>
      <w:r w:rsidRPr="009E20C3">
        <w:rPr>
          <w:rFonts w:ascii="Arial" w:hAnsi="Arial" w:cs="Arial"/>
          <w:sz w:val="24"/>
          <w:szCs w:val="24"/>
        </w:rPr>
        <w:t xml:space="preserve"> ‘made to live a life of hell upon earth.’</w:t>
      </w:r>
      <w:r w:rsidRPr="009E20C3">
        <w:rPr>
          <w:rFonts w:ascii="Arial" w:hAnsi="Arial" w:cs="Arial"/>
          <w:sz w:val="24"/>
          <w:szCs w:val="24"/>
          <w:vertAlign w:val="superscript"/>
        </w:rPr>
        <w:footnoteReference w:id="3"/>
      </w:r>
      <w:r w:rsidRPr="009E20C3">
        <w:rPr>
          <w:rFonts w:ascii="Arial" w:hAnsi="Arial" w:cs="Arial"/>
          <w:sz w:val="24"/>
          <w:szCs w:val="24"/>
        </w:rPr>
        <w:t xml:space="preserve"> Discipline was stricter than at other convict prisons; indeed, even Chatham’s chaplain confessed that ‘I writhe under the discipline of this prison, it is so very strict.’</w:t>
      </w:r>
      <w:r w:rsidRPr="009E20C3">
        <w:rPr>
          <w:rFonts w:ascii="Arial" w:hAnsi="Arial" w:cs="Arial"/>
          <w:sz w:val="24"/>
          <w:szCs w:val="24"/>
          <w:vertAlign w:val="superscript"/>
        </w:rPr>
        <w:footnoteReference w:id="4"/>
      </w:r>
      <w:r w:rsidRPr="009E20C3">
        <w:rPr>
          <w:rFonts w:ascii="Arial" w:hAnsi="Arial" w:cs="Arial"/>
          <w:sz w:val="24"/>
          <w:szCs w:val="24"/>
        </w:rPr>
        <w:t xml:space="preserve"> The labour regime was equally harsh: in addition to the backbreaking work of dockyard excavation, convicts drained St Mary’s Island and surrounded it with a two-mile-long sea wall and embankment, ‘almost constantly working in deep and tenacious mud.’</w:t>
      </w:r>
      <w:r w:rsidRPr="009E20C3">
        <w:rPr>
          <w:rFonts w:ascii="Arial" w:hAnsi="Arial" w:cs="Arial"/>
          <w:sz w:val="24"/>
          <w:szCs w:val="24"/>
          <w:vertAlign w:val="superscript"/>
        </w:rPr>
        <w:footnoteReference w:id="5"/>
      </w:r>
      <w:r w:rsidRPr="009E20C3">
        <w:rPr>
          <w:rFonts w:ascii="Arial" w:hAnsi="Arial" w:cs="Arial"/>
          <w:sz w:val="24"/>
          <w:szCs w:val="24"/>
        </w:rPr>
        <w:t xml:space="preserve"> </w:t>
      </w:r>
    </w:p>
    <w:p w14:paraId="5C2022D3" w14:textId="758B1F2B" w:rsidR="009E20C3" w:rsidRPr="009E20C3" w:rsidRDefault="007C2C34" w:rsidP="009E20C3">
      <w:pPr>
        <w:spacing w:line="480" w:lineRule="auto"/>
        <w:rPr>
          <w:rFonts w:ascii="Arial" w:hAnsi="Arial" w:cs="Arial"/>
          <w:sz w:val="24"/>
          <w:szCs w:val="24"/>
        </w:rPr>
      </w:pPr>
      <w:r>
        <w:rPr>
          <w:rFonts w:ascii="Arial" w:hAnsi="Arial" w:cs="Arial"/>
          <w:sz w:val="24"/>
          <w:szCs w:val="24"/>
        </w:rPr>
        <w:t xml:space="preserve">     </w:t>
      </w:r>
      <w:r w:rsidR="009E20C3" w:rsidRPr="009E20C3">
        <w:rPr>
          <w:rFonts w:ascii="Arial" w:hAnsi="Arial" w:cs="Arial"/>
          <w:sz w:val="24"/>
          <w:szCs w:val="24"/>
        </w:rPr>
        <w:t xml:space="preserve">Even worse was brickmaking, the task to which the American fraudster Austin Bidwell was assigned upon arriving at the prison in 1874. In a memoir, he recalled his first sight of Chatham’s vast public works: ‘Mud, mud everywhere, with groups of weary men with shovel, or shovel and barrow, working in it.’ His work party made their way along a ‘sort of road had been made over the mud with ashes and cinders </w:t>
      </w:r>
      <w:r w:rsidR="009E20C3" w:rsidRPr="009E20C3">
        <w:rPr>
          <w:rFonts w:ascii="Arial" w:hAnsi="Arial" w:cs="Arial"/>
          <w:sz w:val="24"/>
          <w:szCs w:val="24"/>
        </w:rPr>
        <w:lastRenderedPageBreak/>
        <w:t>… for about a mile until we came to the clay banks or pits’, where clay and sand w</w:t>
      </w:r>
      <w:r w:rsidR="00BC49FC">
        <w:rPr>
          <w:rFonts w:ascii="Arial" w:hAnsi="Arial" w:cs="Arial"/>
          <w:sz w:val="24"/>
          <w:szCs w:val="24"/>
        </w:rPr>
        <w:t>ere</w:t>
      </w:r>
      <w:r w:rsidR="009E20C3" w:rsidRPr="009E20C3">
        <w:rPr>
          <w:rFonts w:ascii="Arial" w:hAnsi="Arial" w:cs="Arial"/>
          <w:sz w:val="24"/>
          <w:szCs w:val="24"/>
        </w:rPr>
        <w:t xml:space="preserve"> mixed for bricks in a steam mill called a ‘pug’. </w:t>
      </w:r>
    </w:p>
    <w:p w14:paraId="57E4ECDD" w14:textId="77777777" w:rsidR="009E20C3" w:rsidRPr="009E20C3" w:rsidRDefault="009E20C3" w:rsidP="009E20C3">
      <w:pPr>
        <w:spacing w:line="480" w:lineRule="auto"/>
        <w:ind w:left="567"/>
        <w:rPr>
          <w:rFonts w:ascii="Arial" w:hAnsi="Arial" w:cs="Arial"/>
          <w:sz w:val="24"/>
          <w:szCs w:val="24"/>
        </w:rPr>
      </w:pPr>
      <w:r w:rsidRPr="009E20C3">
        <w:rPr>
          <w:rFonts w:ascii="Arial" w:hAnsi="Arial" w:cs="Arial"/>
          <w:sz w:val="24"/>
          <w:szCs w:val="24"/>
        </w:rPr>
        <w:t>Our duty was ‘to keep the pug going’ - keep it full of clay to the top. The clay was in a high bank; we dug into it from the bottom with our spades, and filled it as fast as possible into our barrows. In front of each man was a ‘run,’ formed by a line of planks only eight inches in width, and all converging toward and meeting near the ‘pug.’ The distance we were wheeling was from thirty to forty yards, and the incline was really very steep … One had no period of rest between the filling of one's barrow and the start up the run.</w:t>
      </w:r>
      <w:r w:rsidRPr="009E20C3">
        <w:rPr>
          <w:rFonts w:ascii="Arial" w:hAnsi="Arial" w:cs="Arial"/>
          <w:sz w:val="24"/>
          <w:szCs w:val="24"/>
          <w:vertAlign w:val="superscript"/>
        </w:rPr>
        <w:footnoteReference w:id="6"/>
      </w:r>
    </w:p>
    <w:p w14:paraId="045FCFED" w14:textId="54FF0331" w:rsidR="009E20C3" w:rsidRPr="009E20C3" w:rsidRDefault="007C2C34" w:rsidP="009E20C3">
      <w:pPr>
        <w:spacing w:line="480" w:lineRule="auto"/>
        <w:rPr>
          <w:rFonts w:ascii="Arial" w:hAnsi="Arial" w:cs="Arial"/>
          <w:sz w:val="24"/>
          <w:szCs w:val="24"/>
        </w:rPr>
      </w:pPr>
      <w:r>
        <w:rPr>
          <w:rFonts w:ascii="Arial" w:hAnsi="Arial" w:cs="Arial"/>
          <w:sz w:val="24"/>
          <w:szCs w:val="24"/>
        </w:rPr>
        <w:t xml:space="preserve">     </w:t>
      </w:r>
      <w:r w:rsidR="009E20C3" w:rsidRPr="009E20C3">
        <w:rPr>
          <w:rFonts w:ascii="Arial" w:hAnsi="Arial" w:cs="Arial"/>
          <w:sz w:val="24"/>
          <w:szCs w:val="24"/>
        </w:rPr>
        <w:t xml:space="preserve">Faced with toil of this kind, often for years on end, some convicts deliberately placed their arms or legs in the way of moving carts in the hope of transfer to an invalid prison. An ‘epidemic’ of self-injury at </w:t>
      </w:r>
      <w:r>
        <w:rPr>
          <w:rFonts w:ascii="Arial" w:hAnsi="Arial" w:cs="Arial"/>
          <w:sz w:val="24"/>
          <w:szCs w:val="24"/>
        </w:rPr>
        <w:t>Chatham</w:t>
      </w:r>
      <w:r w:rsidR="009E20C3" w:rsidRPr="009E20C3">
        <w:rPr>
          <w:rFonts w:ascii="Arial" w:hAnsi="Arial" w:cs="Arial"/>
          <w:sz w:val="24"/>
          <w:szCs w:val="24"/>
        </w:rPr>
        <w:t xml:space="preserve"> peaked in 1871, its medical officer performing thirty-three amputations that year</w:t>
      </w:r>
      <w:r>
        <w:rPr>
          <w:rFonts w:ascii="Arial" w:hAnsi="Arial" w:cs="Arial"/>
          <w:sz w:val="24"/>
          <w:szCs w:val="24"/>
        </w:rPr>
        <w:t>. C</w:t>
      </w:r>
      <w:r w:rsidR="009E20C3" w:rsidRPr="009E20C3">
        <w:rPr>
          <w:rFonts w:ascii="Arial" w:hAnsi="Arial" w:cs="Arial"/>
          <w:sz w:val="24"/>
          <w:szCs w:val="24"/>
        </w:rPr>
        <w:t xml:space="preserve">onvicts would judge a vehicle’s load as it approached ‘because the unloaded waggons would merely give them a pinch, whereas the loaded waggons would crush or sever the limb.’ To prevent this, </w:t>
      </w:r>
      <w:r w:rsidR="00AA2FA7">
        <w:rPr>
          <w:rFonts w:ascii="Arial" w:hAnsi="Arial" w:cs="Arial"/>
          <w:sz w:val="24"/>
          <w:szCs w:val="24"/>
        </w:rPr>
        <w:t xml:space="preserve">a civilian engineer reported, </w:t>
      </w:r>
      <w:r w:rsidR="009E20C3" w:rsidRPr="009E20C3">
        <w:rPr>
          <w:rFonts w:ascii="Arial" w:hAnsi="Arial" w:cs="Arial"/>
          <w:sz w:val="24"/>
          <w:szCs w:val="24"/>
        </w:rPr>
        <w:t>when a traction locomotive neared a work party, ‘the whole of the men are faced right about, and are made to stop their work and to remain in that position until the engine has passed, so that they shall not be able to throw themselves so easily under [it].</w:t>
      </w:r>
      <w:r w:rsidR="009E20C3" w:rsidRPr="009E20C3">
        <w:rPr>
          <w:rFonts w:ascii="Arial" w:hAnsi="Arial" w:cs="Arial"/>
          <w:sz w:val="24"/>
          <w:szCs w:val="24"/>
          <w:vertAlign w:val="superscript"/>
        </w:rPr>
        <w:footnoteReference w:id="7"/>
      </w:r>
    </w:p>
    <w:p w14:paraId="6AB87151" w14:textId="44DCB8CA" w:rsidR="009E20C3" w:rsidRPr="009E20C3" w:rsidRDefault="009E20C3" w:rsidP="009E20C3">
      <w:pPr>
        <w:spacing w:line="480" w:lineRule="auto"/>
        <w:rPr>
          <w:rFonts w:ascii="Arial" w:hAnsi="Arial" w:cs="Arial"/>
          <w:sz w:val="24"/>
          <w:szCs w:val="24"/>
        </w:rPr>
      </w:pPr>
      <w:r w:rsidRPr="009E20C3">
        <w:rPr>
          <w:rFonts w:ascii="Arial" w:hAnsi="Arial" w:cs="Arial"/>
          <w:sz w:val="24"/>
          <w:szCs w:val="24"/>
        </w:rPr>
        <w:t xml:space="preserve">     In 1892, once work on the new dockyard reached an end, </w:t>
      </w:r>
      <w:r w:rsidR="00AA2FA7">
        <w:rPr>
          <w:rFonts w:ascii="Arial" w:hAnsi="Arial" w:cs="Arial"/>
          <w:sz w:val="24"/>
          <w:szCs w:val="24"/>
        </w:rPr>
        <w:t>the</w:t>
      </w:r>
      <w:r w:rsidRPr="009E20C3">
        <w:rPr>
          <w:rFonts w:ascii="Arial" w:hAnsi="Arial" w:cs="Arial"/>
          <w:sz w:val="24"/>
          <w:szCs w:val="24"/>
        </w:rPr>
        <w:t xml:space="preserve"> prison closed and its cell-blocks were dismantled. The </w:t>
      </w:r>
      <w:r w:rsidR="0009399C">
        <w:rPr>
          <w:rFonts w:ascii="Arial" w:hAnsi="Arial" w:cs="Arial"/>
          <w:sz w:val="24"/>
          <w:szCs w:val="24"/>
        </w:rPr>
        <w:t>[</w:t>
      </w:r>
      <w:hyperlink r:id="rId7" w:history="1">
        <w:r w:rsidRPr="001312B4">
          <w:rPr>
            <w:rStyle w:val="Hyperlink"/>
            <w:rFonts w:ascii="Arial" w:hAnsi="Arial" w:cs="Arial"/>
            <w:sz w:val="24"/>
            <w:szCs w:val="24"/>
          </w:rPr>
          <w:t xml:space="preserve">Royal Naval </w:t>
        </w:r>
        <w:r w:rsidRPr="001312B4">
          <w:rPr>
            <w:rStyle w:val="Hyperlink"/>
            <w:rFonts w:ascii="Arial" w:hAnsi="Arial" w:cs="Arial"/>
            <w:sz w:val="24"/>
            <w:szCs w:val="24"/>
          </w:rPr>
          <w:t>b</w:t>
        </w:r>
        <w:r w:rsidRPr="001312B4">
          <w:rPr>
            <w:rStyle w:val="Hyperlink"/>
            <w:rFonts w:ascii="Arial" w:hAnsi="Arial" w:cs="Arial"/>
            <w:sz w:val="24"/>
            <w:szCs w:val="24"/>
          </w:rPr>
          <w:t>arracks</w:t>
        </w:r>
      </w:hyperlink>
      <w:r w:rsidR="0009399C">
        <w:rPr>
          <w:rStyle w:val="Hyperlink"/>
          <w:rFonts w:ascii="Arial" w:hAnsi="Arial" w:cs="Arial"/>
          <w:sz w:val="24"/>
          <w:szCs w:val="24"/>
        </w:rPr>
        <w:t>](</w:t>
      </w:r>
      <w:r w:rsidR="0009399C" w:rsidRPr="0009399C">
        <w:t xml:space="preserve"> </w:t>
      </w:r>
      <w:r w:rsidR="0009399C" w:rsidRPr="0009399C">
        <w:rPr>
          <w:rStyle w:val="Hyperlink"/>
          <w:rFonts w:ascii="Arial" w:hAnsi="Arial" w:cs="Arial"/>
          <w:sz w:val="24"/>
          <w:szCs w:val="24"/>
        </w:rPr>
        <w:lastRenderedPageBreak/>
        <w:t>https://en.wikipedia.org/wiki/Royal_Naval_Barracks,_Chatham</w:t>
      </w:r>
      <w:r w:rsidR="0009399C">
        <w:rPr>
          <w:rStyle w:val="Hyperlink"/>
          <w:rFonts w:ascii="Arial" w:hAnsi="Arial" w:cs="Arial"/>
          <w:sz w:val="24"/>
          <w:szCs w:val="24"/>
        </w:rPr>
        <w:t>)</w:t>
      </w:r>
      <w:r w:rsidRPr="009E20C3">
        <w:rPr>
          <w:rFonts w:ascii="Arial" w:hAnsi="Arial" w:cs="Arial"/>
          <w:sz w:val="24"/>
          <w:szCs w:val="24"/>
        </w:rPr>
        <w:t xml:space="preserve"> built on its former site are today home to the </w:t>
      </w:r>
      <w:r w:rsidRPr="001312B4">
        <w:rPr>
          <w:rFonts w:ascii="Arial" w:hAnsi="Arial" w:cs="Arial"/>
          <w:sz w:val="24"/>
          <w:szCs w:val="24"/>
        </w:rPr>
        <w:t>Universities at Medway campus</w:t>
      </w:r>
      <w:r w:rsidR="00BA474A" w:rsidRPr="001312B4">
        <w:rPr>
          <w:rFonts w:ascii="Arial" w:hAnsi="Arial" w:cs="Arial"/>
          <w:sz w:val="24"/>
          <w:szCs w:val="24"/>
        </w:rPr>
        <w:t xml:space="preserve">, </w:t>
      </w:r>
      <w:r w:rsidR="00CA2F89" w:rsidRPr="001312B4">
        <w:rPr>
          <w:rFonts w:ascii="Arial" w:hAnsi="Arial" w:cs="Arial"/>
          <w:sz w:val="24"/>
          <w:szCs w:val="24"/>
        </w:rPr>
        <w:t>and</w:t>
      </w:r>
      <w:r w:rsidR="00815EAB" w:rsidRPr="001312B4">
        <w:rPr>
          <w:rFonts w:ascii="Arial" w:hAnsi="Arial" w:cs="Arial"/>
          <w:sz w:val="24"/>
          <w:szCs w:val="24"/>
        </w:rPr>
        <w:t xml:space="preserve"> </w:t>
      </w:r>
      <w:r w:rsidRPr="009E20C3">
        <w:rPr>
          <w:rFonts w:ascii="Arial" w:hAnsi="Arial" w:cs="Arial"/>
          <w:sz w:val="24"/>
          <w:szCs w:val="24"/>
        </w:rPr>
        <w:t>one of the dockyard basins</w:t>
      </w:r>
      <w:r w:rsidR="00CA2F89">
        <w:rPr>
          <w:rFonts w:ascii="Arial" w:hAnsi="Arial" w:cs="Arial"/>
          <w:sz w:val="24"/>
          <w:szCs w:val="24"/>
        </w:rPr>
        <w:t xml:space="preserve"> built by convicts</w:t>
      </w:r>
      <w:r w:rsidR="004E047A">
        <w:rPr>
          <w:rFonts w:ascii="Arial" w:hAnsi="Arial" w:cs="Arial"/>
          <w:sz w:val="24"/>
          <w:szCs w:val="24"/>
        </w:rPr>
        <w:t xml:space="preserve"> </w:t>
      </w:r>
      <w:r w:rsidR="00C3294A">
        <w:rPr>
          <w:rFonts w:ascii="Arial" w:hAnsi="Arial" w:cs="Arial"/>
          <w:sz w:val="24"/>
          <w:szCs w:val="24"/>
        </w:rPr>
        <w:t xml:space="preserve">now </w:t>
      </w:r>
      <w:r w:rsidRPr="009E20C3">
        <w:rPr>
          <w:rFonts w:ascii="Arial" w:hAnsi="Arial" w:cs="Arial"/>
          <w:sz w:val="24"/>
          <w:szCs w:val="24"/>
        </w:rPr>
        <w:t xml:space="preserve">serves as a </w:t>
      </w:r>
      <w:r w:rsidR="0009399C">
        <w:rPr>
          <w:rFonts w:ascii="Arial" w:hAnsi="Arial" w:cs="Arial"/>
          <w:sz w:val="24"/>
          <w:szCs w:val="24"/>
        </w:rPr>
        <w:t>[</w:t>
      </w:r>
      <w:hyperlink r:id="rId8" w:history="1">
        <w:r w:rsidRPr="001A3097">
          <w:rPr>
            <w:rStyle w:val="Hyperlink"/>
            <w:rFonts w:ascii="Arial" w:hAnsi="Arial" w:cs="Arial"/>
            <w:sz w:val="24"/>
            <w:szCs w:val="24"/>
          </w:rPr>
          <w:t>ma</w:t>
        </w:r>
        <w:r w:rsidRPr="001A3097">
          <w:rPr>
            <w:rStyle w:val="Hyperlink"/>
            <w:rFonts w:ascii="Arial" w:hAnsi="Arial" w:cs="Arial"/>
            <w:sz w:val="24"/>
            <w:szCs w:val="24"/>
          </w:rPr>
          <w:t>r</w:t>
        </w:r>
        <w:r w:rsidRPr="001A3097">
          <w:rPr>
            <w:rStyle w:val="Hyperlink"/>
            <w:rFonts w:ascii="Arial" w:hAnsi="Arial" w:cs="Arial"/>
            <w:sz w:val="24"/>
            <w:szCs w:val="24"/>
          </w:rPr>
          <w:t>ina</w:t>
        </w:r>
      </w:hyperlink>
      <w:r w:rsidR="0009399C">
        <w:rPr>
          <w:rStyle w:val="Hyperlink"/>
          <w:rFonts w:ascii="Arial" w:hAnsi="Arial" w:cs="Arial"/>
          <w:sz w:val="24"/>
          <w:szCs w:val="24"/>
        </w:rPr>
        <w:t>](</w:t>
      </w:r>
      <w:r w:rsidR="0009399C" w:rsidRPr="0009399C">
        <w:t xml:space="preserve"> </w:t>
      </w:r>
      <w:r w:rsidR="0009399C" w:rsidRPr="0009399C">
        <w:rPr>
          <w:rStyle w:val="Hyperlink"/>
          <w:rFonts w:ascii="Arial" w:hAnsi="Arial" w:cs="Arial"/>
          <w:sz w:val="24"/>
          <w:szCs w:val="24"/>
        </w:rPr>
        <w:t>https://www.mdlmarinas.co.uk/marinas/mdl-chatham-maritime-marina/</w:t>
      </w:r>
      <w:r w:rsidR="0009399C">
        <w:rPr>
          <w:rStyle w:val="Hyperlink"/>
          <w:rFonts w:ascii="Arial" w:hAnsi="Arial" w:cs="Arial"/>
          <w:sz w:val="24"/>
          <w:szCs w:val="24"/>
        </w:rPr>
        <w:t>)</w:t>
      </w:r>
      <w:r w:rsidRPr="009E20C3">
        <w:rPr>
          <w:rFonts w:ascii="Arial" w:hAnsi="Arial" w:cs="Arial"/>
          <w:sz w:val="24"/>
          <w:szCs w:val="24"/>
        </w:rPr>
        <w:t xml:space="preserve">. </w:t>
      </w:r>
      <w:r w:rsidR="00C3294A">
        <w:rPr>
          <w:rFonts w:ascii="Arial" w:hAnsi="Arial" w:cs="Arial"/>
          <w:sz w:val="24"/>
          <w:szCs w:val="24"/>
        </w:rPr>
        <w:t>Throughout</w:t>
      </w:r>
      <w:r w:rsidR="00132216">
        <w:rPr>
          <w:rFonts w:ascii="Arial" w:hAnsi="Arial" w:cs="Arial"/>
          <w:sz w:val="24"/>
          <w:szCs w:val="24"/>
        </w:rPr>
        <w:t xml:space="preserve"> the</w:t>
      </w:r>
      <w:r w:rsidRPr="009E20C3">
        <w:rPr>
          <w:rFonts w:ascii="Arial" w:hAnsi="Arial" w:cs="Arial"/>
          <w:sz w:val="24"/>
          <w:szCs w:val="24"/>
        </w:rPr>
        <w:t xml:space="preserve"> </w:t>
      </w:r>
      <w:r w:rsidR="0009399C">
        <w:rPr>
          <w:rFonts w:ascii="Arial" w:hAnsi="Arial" w:cs="Arial"/>
          <w:sz w:val="24"/>
          <w:szCs w:val="24"/>
        </w:rPr>
        <w:t>[</w:t>
      </w:r>
      <w:hyperlink r:id="rId9" w:history="1">
        <w:r w:rsidRPr="009E20C3">
          <w:rPr>
            <w:rFonts w:ascii="Arial" w:hAnsi="Arial" w:cs="Arial"/>
            <w:color w:val="0563C1" w:themeColor="hyperlink"/>
            <w:sz w:val="24"/>
            <w:szCs w:val="24"/>
            <w:u w:val="single"/>
          </w:rPr>
          <w:t>Chatha</w:t>
        </w:r>
        <w:r w:rsidRPr="009E20C3">
          <w:rPr>
            <w:rFonts w:ascii="Arial" w:hAnsi="Arial" w:cs="Arial"/>
            <w:color w:val="0563C1" w:themeColor="hyperlink"/>
            <w:sz w:val="24"/>
            <w:szCs w:val="24"/>
            <w:u w:val="single"/>
          </w:rPr>
          <w:t>m</w:t>
        </w:r>
        <w:r w:rsidRPr="009E20C3">
          <w:rPr>
            <w:rFonts w:ascii="Arial" w:hAnsi="Arial" w:cs="Arial"/>
            <w:color w:val="0563C1" w:themeColor="hyperlink"/>
            <w:sz w:val="24"/>
            <w:szCs w:val="24"/>
            <w:u w:val="single"/>
          </w:rPr>
          <w:t xml:space="preserve"> Maritime Estate</w:t>
        </w:r>
      </w:hyperlink>
      <w:r w:rsidR="0009399C">
        <w:rPr>
          <w:rFonts w:ascii="Arial" w:hAnsi="Arial" w:cs="Arial"/>
          <w:color w:val="0563C1" w:themeColor="hyperlink"/>
          <w:sz w:val="24"/>
          <w:szCs w:val="24"/>
          <w:u w:val="single"/>
        </w:rPr>
        <w:t>](</w:t>
      </w:r>
      <w:r w:rsidR="0009399C" w:rsidRPr="0009399C">
        <w:t xml:space="preserve"> </w:t>
      </w:r>
      <w:r w:rsidR="0009399C" w:rsidRPr="0009399C">
        <w:rPr>
          <w:rFonts w:ascii="Arial" w:hAnsi="Arial" w:cs="Arial"/>
          <w:color w:val="0563C1" w:themeColor="hyperlink"/>
          <w:sz w:val="24"/>
          <w:szCs w:val="24"/>
          <w:u w:val="single"/>
        </w:rPr>
        <w:t>https://www.cmtrust.co.uk/</w:t>
      </w:r>
      <w:r w:rsidR="0009399C">
        <w:rPr>
          <w:rFonts w:ascii="Arial" w:hAnsi="Arial" w:cs="Arial"/>
          <w:color w:val="0563C1" w:themeColor="hyperlink"/>
          <w:sz w:val="24"/>
          <w:szCs w:val="24"/>
          <w:u w:val="single"/>
        </w:rPr>
        <w:t>)</w:t>
      </w:r>
      <w:r w:rsidRPr="009E20C3">
        <w:rPr>
          <w:rFonts w:ascii="Arial" w:hAnsi="Arial" w:cs="Arial"/>
          <w:sz w:val="24"/>
          <w:szCs w:val="24"/>
        </w:rPr>
        <w:t xml:space="preserve">, the products of convict labour </w:t>
      </w:r>
      <w:r w:rsidR="00C3294A">
        <w:rPr>
          <w:rFonts w:ascii="Arial" w:hAnsi="Arial" w:cs="Arial"/>
          <w:sz w:val="24"/>
          <w:szCs w:val="24"/>
        </w:rPr>
        <w:t>are</w:t>
      </w:r>
      <w:r w:rsidRPr="009E20C3">
        <w:rPr>
          <w:rFonts w:ascii="Arial" w:hAnsi="Arial" w:cs="Arial"/>
          <w:sz w:val="24"/>
          <w:szCs w:val="24"/>
        </w:rPr>
        <w:t xml:space="preserve"> everywhere</w:t>
      </w:r>
      <w:r w:rsidR="00C3294A">
        <w:rPr>
          <w:rFonts w:ascii="Arial" w:hAnsi="Arial" w:cs="Arial"/>
          <w:sz w:val="24"/>
          <w:szCs w:val="24"/>
        </w:rPr>
        <w:t xml:space="preserve"> to be seen</w:t>
      </w:r>
      <w:r w:rsidRPr="009E20C3">
        <w:rPr>
          <w:rFonts w:ascii="Arial" w:hAnsi="Arial" w:cs="Arial"/>
          <w:sz w:val="24"/>
          <w:szCs w:val="24"/>
        </w:rPr>
        <w:t>. Yet there is little to indicate that this was once a place where, in the assessment of one former convict, ‘more human blood was spilt and more human lives lost through excessive labour than in any other prison in the country’.</w:t>
      </w:r>
      <w:r w:rsidRPr="009E20C3">
        <w:rPr>
          <w:rFonts w:ascii="Arial" w:hAnsi="Arial" w:cs="Arial"/>
          <w:sz w:val="24"/>
          <w:szCs w:val="24"/>
          <w:vertAlign w:val="superscript"/>
        </w:rPr>
        <w:footnoteReference w:id="8"/>
      </w:r>
      <w:r w:rsidRPr="009E20C3">
        <w:rPr>
          <w:rFonts w:ascii="Arial" w:hAnsi="Arial" w:cs="Arial"/>
          <w:sz w:val="24"/>
          <w:szCs w:val="24"/>
        </w:rPr>
        <w:t xml:space="preserve"> </w:t>
      </w:r>
    </w:p>
    <w:p w14:paraId="40E00F6F" w14:textId="77777777" w:rsidR="009E20C3" w:rsidRPr="009E20C3" w:rsidRDefault="009E20C3" w:rsidP="009E20C3">
      <w:pPr>
        <w:spacing w:line="480" w:lineRule="auto"/>
        <w:rPr>
          <w:rFonts w:ascii="Arial" w:hAnsi="Arial" w:cs="Arial"/>
          <w:b/>
          <w:bCs/>
          <w:sz w:val="24"/>
          <w:szCs w:val="24"/>
        </w:rPr>
      </w:pPr>
      <w:r w:rsidRPr="009E20C3">
        <w:rPr>
          <w:rFonts w:ascii="Arial" w:hAnsi="Arial" w:cs="Arial"/>
          <w:b/>
          <w:bCs/>
          <w:sz w:val="24"/>
          <w:szCs w:val="24"/>
        </w:rPr>
        <w:t>BIBLIOGRAPHY</w:t>
      </w:r>
    </w:p>
    <w:p w14:paraId="6EBCFB73" w14:textId="06378C1A" w:rsidR="009E20C3" w:rsidRPr="009E20C3" w:rsidRDefault="009E20C3" w:rsidP="009E20C3">
      <w:pPr>
        <w:spacing w:line="480" w:lineRule="auto"/>
        <w:rPr>
          <w:rFonts w:ascii="Arial" w:hAnsi="Arial" w:cs="Arial"/>
          <w:sz w:val="24"/>
          <w:szCs w:val="24"/>
        </w:rPr>
      </w:pPr>
      <w:bookmarkStart w:id="2" w:name="_Hlk111931231"/>
      <w:r w:rsidRPr="009E20C3">
        <w:rPr>
          <w:rFonts w:ascii="Arial" w:hAnsi="Arial" w:cs="Arial"/>
          <w:sz w:val="24"/>
          <w:szCs w:val="24"/>
        </w:rPr>
        <w:t>Bethell,</w:t>
      </w:r>
      <w:r w:rsidR="00DF6005">
        <w:rPr>
          <w:rFonts w:ascii="Arial" w:hAnsi="Arial" w:cs="Arial"/>
          <w:sz w:val="24"/>
          <w:szCs w:val="24"/>
        </w:rPr>
        <w:t xml:space="preserve"> </w:t>
      </w:r>
      <w:r w:rsidR="00DF6005" w:rsidRPr="009E20C3">
        <w:rPr>
          <w:rFonts w:ascii="Arial" w:hAnsi="Arial" w:cs="Arial"/>
          <w:sz w:val="24"/>
          <w:szCs w:val="24"/>
        </w:rPr>
        <w:t>Ben</w:t>
      </w:r>
      <w:r w:rsidR="00DF6005">
        <w:rPr>
          <w:rFonts w:ascii="Arial" w:hAnsi="Arial" w:cs="Arial"/>
          <w:sz w:val="24"/>
          <w:szCs w:val="24"/>
        </w:rPr>
        <w:t>.</w:t>
      </w:r>
      <w:r w:rsidRPr="009E20C3">
        <w:rPr>
          <w:rFonts w:ascii="Arial" w:hAnsi="Arial" w:cs="Arial"/>
          <w:sz w:val="24"/>
          <w:szCs w:val="24"/>
        </w:rPr>
        <w:t xml:space="preserve"> </w:t>
      </w:r>
      <w:proofErr w:type="gramStart"/>
      <w:r w:rsidR="0009399C">
        <w:rPr>
          <w:rFonts w:ascii="Arial" w:hAnsi="Arial" w:cs="Arial"/>
          <w:sz w:val="24"/>
          <w:szCs w:val="24"/>
        </w:rPr>
        <w:t>_</w:t>
      </w:r>
      <w:r w:rsidRPr="009E20C3">
        <w:rPr>
          <w:rFonts w:ascii="Arial" w:hAnsi="Arial" w:cs="Arial"/>
          <w:i/>
          <w:iCs/>
          <w:sz w:val="24"/>
          <w:szCs w:val="24"/>
        </w:rPr>
        <w:t>‘</w:t>
      </w:r>
      <w:proofErr w:type="gramEnd"/>
      <w:r w:rsidRPr="009E20C3">
        <w:rPr>
          <w:rFonts w:ascii="Arial" w:hAnsi="Arial" w:cs="Arial"/>
          <w:i/>
          <w:iCs/>
          <w:sz w:val="24"/>
          <w:szCs w:val="24"/>
        </w:rPr>
        <w:t>Star Men’ in English Convict Prisons, 1879-1948</w:t>
      </w:r>
      <w:r w:rsidR="0009399C">
        <w:rPr>
          <w:rFonts w:ascii="Arial" w:hAnsi="Arial" w:cs="Arial"/>
          <w:i/>
          <w:iCs/>
          <w:sz w:val="24"/>
          <w:szCs w:val="24"/>
        </w:rPr>
        <w:t>_.</w:t>
      </w:r>
      <w:r w:rsidRPr="009E20C3">
        <w:rPr>
          <w:rFonts w:ascii="Arial" w:hAnsi="Arial" w:cs="Arial"/>
          <w:sz w:val="24"/>
          <w:szCs w:val="24"/>
        </w:rPr>
        <w:t xml:space="preserve"> London: Routledge, 202</w:t>
      </w:r>
      <w:r w:rsidR="00BA2788">
        <w:rPr>
          <w:rFonts w:ascii="Arial" w:hAnsi="Arial" w:cs="Arial"/>
          <w:sz w:val="24"/>
          <w:szCs w:val="24"/>
        </w:rPr>
        <w:t>2</w:t>
      </w:r>
      <w:r w:rsidR="0009399C">
        <w:rPr>
          <w:rFonts w:ascii="Arial" w:hAnsi="Arial" w:cs="Arial"/>
          <w:sz w:val="24"/>
          <w:szCs w:val="24"/>
        </w:rPr>
        <w:t>.</w:t>
      </w:r>
    </w:p>
    <w:p w14:paraId="63075AB8" w14:textId="69856D6E" w:rsidR="009E20C3" w:rsidRPr="009E20C3" w:rsidRDefault="00DF6005" w:rsidP="009E20C3">
      <w:pPr>
        <w:spacing w:line="480" w:lineRule="auto"/>
        <w:rPr>
          <w:rFonts w:ascii="Arial" w:hAnsi="Arial" w:cs="Arial"/>
          <w:sz w:val="24"/>
          <w:szCs w:val="24"/>
        </w:rPr>
      </w:pPr>
      <w:bookmarkStart w:id="3" w:name="_Hlk8564558"/>
      <w:bookmarkStart w:id="4" w:name="_Hlk5529915"/>
      <w:bookmarkEnd w:id="2"/>
      <w:r>
        <w:rPr>
          <w:rFonts w:ascii="Arial" w:hAnsi="Arial" w:cs="Arial"/>
          <w:iCs/>
          <w:sz w:val="24"/>
          <w:szCs w:val="24"/>
        </w:rPr>
        <w:t xml:space="preserve">Brown, </w:t>
      </w:r>
      <w:r w:rsidR="009E20C3" w:rsidRPr="009E20C3">
        <w:rPr>
          <w:rFonts w:ascii="Arial" w:hAnsi="Arial" w:cs="Arial"/>
          <w:iCs/>
          <w:sz w:val="24"/>
          <w:szCs w:val="24"/>
        </w:rPr>
        <w:t>Alyson</w:t>
      </w:r>
      <w:r>
        <w:rPr>
          <w:rFonts w:ascii="Arial" w:hAnsi="Arial" w:cs="Arial"/>
          <w:iCs/>
          <w:sz w:val="24"/>
          <w:szCs w:val="24"/>
        </w:rPr>
        <w:t>.</w:t>
      </w:r>
      <w:bookmarkStart w:id="5" w:name="_GoBack"/>
      <w:bookmarkEnd w:id="5"/>
      <w:r w:rsidR="009E20C3" w:rsidRPr="009E20C3">
        <w:rPr>
          <w:rFonts w:ascii="Arial" w:hAnsi="Arial" w:cs="Arial"/>
          <w:iCs/>
          <w:sz w:val="24"/>
          <w:szCs w:val="24"/>
        </w:rPr>
        <w:t xml:space="preserve"> </w:t>
      </w:r>
      <w:r w:rsidR="0009399C">
        <w:rPr>
          <w:rFonts w:ascii="Arial" w:hAnsi="Arial" w:cs="Arial"/>
          <w:iCs/>
          <w:sz w:val="24"/>
          <w:szCs w:val="24"/>
        </w:rPr>
        <w:t>_</w:t>
      </w:r>
      <w:r w:rsidR="009E20C3" w:rsidRPr="009E20C3">
        <w:rPr>
          <w:rFonts w:ascii="Arial" w:hAnsi="Arial" w:cs="Arial"/>
          <w:i/>
          <w:sz w:val="24"/>
          <w:szCs w:val="24"/>
        </w:rPr>
        <w:t>English Society and the Prison: Time, Culture and Politics in the Development of the Modern Prison, 1850-1920</w:t>
      </w:r>
      <w:bookmarkEnd w:id="3"/>
      <w:r w:rsidR="0009399C">
        <w:rPr>
          <w:rFonts w:ascii="Arial" w:hAnsi="Arial" w:cs="Arial"/>
          <w:i/>
          <w:sz w:val="24"/>
          <w:szCs w:val="24"/>
        </w:rPr>
        <w:t>_.</w:t>
      </w:r>
      <w:r w:rsidR="009E20C3" w:rsidRPr="009E20C3">
        <w:rPr>
          <w:rFonts w:ascii="Arial" w:hAnsi="Arial" w:cs="Arial"/>
          <w:sz w:val="24"/>
          <w:szCs w:val="24"/>
        </w:rPr>
        <w:t xml:space="preserve"> Woodbridge: Boydell</w:t>
      </w:r>
      <w:bookmarkEnd w:id="4"/>
      <w:r w:rsidR="009E20C3" w:rsidRPr="009E20C3">
        <w:rPr>
          <w:rFonts w:ascii="Arial" w:hAnsi="Arial" w:cs="Arial"/>
          <w:sz w:val="24"/>
          <w:szCs w:val="24"/>
        </w:rPr>
        <w:t>, 2003</w:t>
      </w:r>
      <w:r w:rsidR="0009399C">
        <w:rPr>
          <w:rFonts w:ascii="Arial" w:hAnsi="Arial" w:cs="Arial"/>
          <w:sz w:val="24"/>
          <w:szCs w:val="24"/>
        </w:rPr>
        <w:t>.</w:t>
      </w:r>
    </w:p>
    <w:p w14:paraId="2C302D12" w14:textId="77777777" w:rsidR="009E20C3" w:rsidRPr="009E20C3" w:rsidRDefault="009E20C3" w:rsidP="009E20C3">
      <w:pPr>
        <w:spacing w:line="480" w:lineRule="auto"/>
        <w:rPr>
          <w:rFonts w:ascii="Arial" w:hAnsi="Arial" w:cs="Arial"/>
          <w:b/>
          <w:bCs/>
          <w:sz w:val="24"/>
          <w:szCs w:val="24"/>
        </w:rPr>
      </w:pPr>
    </w:p>
    <w:p w14:paraId="4F3DD86A" w14:textId="77777777" w:rsidR="009E20C3" w:rsidRPr="009E20C3" w:rsidRDefault="009E20C3" w:rsidP="009E20C3">
      <w:pPr>
        <w:spacing w:line="480" w:lineRule="auto"/>
        <w:rPr>
          <w:rFonts w:ascii="Arial" w:hAnsi="Arial" w:cs="Arial"/>
          <w:b/>
          <w:bCs/>
          <w:sz w:val="24"/>
          <w:szCs w:val="24"/>
        </w:rPr>
      </w:pPr>
    </w:p>
    <w:p w14:paraId="12A44249" w14:textId="77777777" w:rsidR="009E20C3" w:rsidRPr="009E20C3" w:rsidRDefault="009E20C3" w:rsidP="009E20C3">
      <w:pPr>
        <w:spacing w:line="480" w:lineRule="auto"/>
        <w:rPr>
          <w:rFonts w:ascii="Arial" w:hAnsi="Arial" w:cs="Arial"/>
          <w:b/>
          <w:bCs/>
          <w:color w:val="FF0000"/>
          <w:sz w:val="24"/>
          <w:szCs w:val="24"/>
        </w:rPr>
      </w:pPr>
    </w:p>
    <w:p w14:paraId="428FB3F3" w14:textId="77777777" w:rsidR="009E20C3" w:rsidRPr="009E20C3" w:rsidRDefault="009E20C3" w:rsidP="009E20C3">
      <w:pPr>
        <w:spacing w:line="480" w:lineRule="auto"/>
        <w:rPr>
          <w:rFonts w:ascii="Arial" w:hAnsi="Arial" w:cs="Arial"/>
          <w:sz w:val="24"/>
          <w:szCs w:val="24"/>
        </w:rPr>
      </w:pPr>
    </w:p>
    <w:p w14:paraId="1DF74B6B" w14:textId="77777777" w:rsidR="009E20C3" w:rsidRPr="009E20C3" w:rsidRDefault="009E20C3" w:rsidP="009E20C3">
      <w:pPr>
        <w:spacing w:line="480" w:lineRule="auto"/>
        <w:rPr>
          <w:rFonts w:ascii="Arial" w:hAnsi="Arial" w:cs="Arial"/>
          <w:b/>
          <w:bCs/>
          <w:sz w:val="24"/>
          <w:szCs w:val="24"/>
        </w:rPr>
      </w:pPr>
    </w:p>
    <w:p w14:paraId="33150F0E" w14:textId="77777777" w:rsidR="009E20C3" w:rsidRPr="009E20C3" w:rsidRDefault="009E20C3" w:rsidP="009E20C3">
      <w:pPr>
        <w:spacing w:line="480" w:lineRule="auto"/>
        <w:rPr>
          <w:rFonts w:ascii="Arial" w:hAnsi="Arial" w:cs="Arial"/>
          <w:b/>
          <w:bCs/>
          <w:sz w:val="24"/>
          <w:szCs w:val="24"/>
        </w:rPr>
      </w:pPr>
    </w:p>
    <w:p w14:paraId="49EF54FE" w14:textId="77777777" w:rsidR="009E20C3" w:rsidRPr="009E20C3" w:rsidRDefault="009E20C3" w:rsidP="009E20C3">
      <w:pPr>
        <w:spacing w:line="480" w:lineRule="auto"/>
        <w:rPr>
          <w:rFonts w:ascii="Arial" w:hAnsi="Arial" w:cs="Arial"/>
          <w:b/>
          <w:bCs/>
          <w:sz w:val="24"/>
          <w:szCs w:val="24"/>
        </w:rPr>
      </w:pPr>
    </w:p>
    <w:p w14:paraId="507A031E" w14:textId="77777777" w:rsidR="00D50344" w:rsidRPr="009E20C3" w:rsidRDefault="00D50344" w:rsidP="009E20C3">
      <w:pPr>
        <w:spacing w:line="480" w:lineRule="auto"/>
        <w:rPr>
          <w:rFonts w:ascii="Arial" w:hAnsi="Arial" w:cs="Arial"/>
          <w:sz w:val="24"/>
          <w:szCs w:val="24"/>
        </w:rPr>
      </w:pPr>
    </w:p>
    <w:sectPr w:rsidR="00D50344" w:rsidRPr="009E20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7A546" w14:textId="77777777" w:rsidR="0077766F" w:rsidRDefault="0077766F" w:rsidP="009E20C3">
      <w:pPr>
        <w:spacing w:after="0" w:line="240" w:lineRule="auto"/>
      </w:pPr>
      <w:r>
        <w:separator/>
      </w:r>
    </w:p>
  </w:endnote>
  <w:endnote w:type="continuationSeparator" w:id="0">
    <w:p w14:paraId="526B294F" w14:textId="77777777" w:rsidR="0077766F" w:rsidRDefault="0077766F" w:rsidP="009E2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022870"/>
      <w:docPartObj>
        <w:docPartGallery w:val="Page Numbers (Bottom of Page)"/>
        <w:docPartUnique/>
      </w:docPartObj>
    </w:sdtPr>
    <w:sdtEndPr>
      <w:rPr>
        <w:noProof/>
      </w:rPr>
    </w:sdtEndPr>
    <w:sdtContent>
      <w:p w14:paraId="3ED2B33E" w14:textId="27D485CA" w:rsidR="005805F0" w:rsidRDefault="00580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D4DDAC" w14:textId="77777777" w:rsidR="005805F0" w:rsidRDefault="0058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771EB" w14:textId="77777777" w:rsidR="0077766F" w:rsidRDefault="0077766F" w:rsidP="009E20C3">
      <w:pPr>
        <w:spacing w:after="0" w:line="240" w:lineRule="auto"/>
      </w:pPr>
      <w:r>
        <w:separator/>
      </w:r>
    </w:p>
  </w:footnote>
  <w:footnote w:type="continuationSeparator" w:id="0">
    <w:p w14:paraId="5CA4390B" w14:textId="77777777" w:rsidR="0077766F" w:rsidRDefault="0077766F" w:rsidP="009E20C3">
      <w:pPr>
        <w:spacing w:after="0" w:line="240" w:lineRule="auto"/>
      </w:pPr>
      <w:r>
        <w:continuationSeparator/>
      </w:r>
    </w:p>
  </w:footnote>
  <w:footnote w:id="1">
    <w:p w14:paraId="16EF9653" w14:textId="4F3D6CD4"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0009399C">
        <w:rPr>
          <w:rFonts w:ascii="Arial" w:hAnsi="Arial" w:cs="Arial"/>
        </w:rPr>
        <w:t>_</w:t>
      </w:r>
      <w:r w:rsidRPr="009E20C3">
        <w:rPr>
          <w:rFonts w:ascii="Arial" w:hAnsi="Arial" w:cs="Arial"/>
          <w:i/>
          <w:lang w:val="en-GB"/>
        </w:rPr>
        <w:t>Report of the commissioners appointed to inquire into the operation of the acts … relating to transportation and penal servitude</w:t>
      </w:r>
      <w:r w:rsidR="0009399C">
        <w:rPr>
          <w:rFonts w:ascii="Arial" w:hAnsi="Arial" w:cs="Arial"/>
          <w:lang w:val="en-GB"/>
        </w:rPr>
        <w:t>_.</w:t>
      </w:r>
      <w:r w:rsidRPr="009E20C3">
        <w:rPr>
          <w:rFonts w:ascii="Arial" w:hAnsi="Arial" w:cs="Arial"/>
          <w:lang w:val="en-GB"/>
        </w:rPr>
        <w:t xml:space="preserve"> PP, 1863 [3190], XXI, 1, pp.102, 51, 447-8. </w:t>
      </w:r>
    </w:p>
  </w:footnote>
  <w:footnote w:id="2">
    <w:p w14:paraId="0066A395" w14:textId="77777777"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Pr="009E20C3">
        <w:rPr>
          <w:rFonts w:ascii="Arial" w:hAnsi="Arial" w:cs="Arial"/>
          <w:lang w:val="en-GB"/>
        </w:rPr>
        <w:t>HC Deb 15 June 1882 vol. 270 cc.1262–3.</w:t>
      </w:r>
    </w:p>
  </w:footnote>
  <w:footnote w:id="3">
    <w:p w14:paraId="7C9E2BCB" w14:textId="1A83BEA5"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Pr="009E20C3">
        <w:rPr>
          <w:rFonts w:ascii="Arial" w:hAnsi="Arial" w:cs="Arial"/>
          <w:lang w:val="en-GB"/>
        </w:rPr>
        <w:t xml:space="preserve">Anon. </w:t>
      </w:r>
      <w:r w:rsidR="0009399C">
        <w:rPr>
          <w:rFonts w:ascii="Arial" w:hAnsi="Arial" w:cs="Arial"/>
          <w:lang w:val="en-GB"/>
        </w:rPr>
        <w:t>_</w:t>
      </w:r>
      <w:r w:rsidRPr="009E20C3">
        <w:rPr>
          <w:rFonts w:ascii="Arial" w:hAnsi="Arial" w:cs="Arial"/>
          <w:i/>
          <w:lang w:val="en-GB"/>
        </w:rPr>
        <w:t xml:space="preserve">The Mark of the Broad Arrow; or The Life of </w:t>
      </w:r>
      <w:proofErr w:type="gramStart"/>
      <w:r w:rsidRPr="009E20C3">
        <w:rPr>
          <w:rFonts w:ascii="Arial" w:hAnsi="Arial" w:cs="Arial"/>
          <w:i/>
          <w:lang w:val="en-GB"/>
        </w:rPr>
        <w:t>A</w:t>
      </w:r>
      <w:proofErr w:type="gramEnd"/>
      <w:r w:rsidRPr="009E20C3">
        <w:rPr>
          <w:rFonts w:ascii="Arial" w:hAnsi="Arial" w:cs="Arial"/>
          <w:i/>
          <w:lang w:val="en-GB"/>
        </w:rPr>
        <w:t xml:space="preserve"> Convict by No.77</w:t>
      </w:r>
      <w:r w:rsidR="0009399C">
        <w:rPr>
          <w:rFonts w:ascii="Arial" w:hAnsi="Arial" w:cs="Arial"/>
          <w:lang w:val="en-GB"/>
        </w:rPr>
        <w:t>_.</w:t>
      </w:r>
      <w:r w:rsidRPr="009E20C3">
        <w:rPr>
          <w:rFonts w:ascii="Arial" w:hAnsi="Arial" w:cs="Arial"/>
          <w:lang w:val="en-GB"/>
        </w:rPr>
        <w:t xml:space="preserve"> London: R.A. Everett, 1903, p.16; HC Deb 24 March 1898 vol. 55 c.871.</w:t>
      </w:r>
    </w:p>
  </w:footnote>
  <w:footnote w:id="4">
    <w:p w14:paraId="5B031271" w14:textId="1D133ACB"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lang w:val="en-GB"/>
        </w:rPr>
        <w:t xml:space="preserve"> </w:t>
      </w:r>
      <w:r w:rsidR="0009399C">
        <w:rPr>
          <w:rFonts w:ascii="Arial" w:hAnsi="Arial" w:cs="Arial"/>
          <w:lang w:val="en-GB"/>
        </w:rPr>
        <w:t>_</w:t>
      </w:r>
      <w:r w:rsidRPr="009E20C3">
        <w:rPr>
          <w:rFonts w:ascii="Arial" w:hAnsi="Arial" w:cs="Arial"/>
          <w:i/>
          <w:lang w:val="en-GB"/>
        </w:rPr>
        <w:t>Report of the visitors of Her Majesty's convict prison at Chatham as to the treatment of certain prisoners convicted of treason felony</w:t>
      </w:r>
      <w:r w:rsidR="0009399C">
        <w:rPr>
          <w:rFonts w:ascii="Arial" w:hAnsi="Arial" w:cs="Arial"/>
          <w:lang w:val="en-GB"/>
        </w:rPr>
        <w:t>_.</w:t>
      </w:r>
      <w:r w:rsidRPr="009E20C3">
        <w:rPr>
          <w:rFonts w:ascii="Arial" w:hAnsi="Arial" w:cs="Arial"/>
          <w:lang w:val="en-GB"/>
        </w:rPr>
        <w:t xml:space="preserve"> PP, 1890 [C.6016], XXXVII, 629, p.140.</w:t>
      </w:r>
    </w:p>
  </w:footnote>
  <w:footnote w:id="5">
    <w:p w14:paraId="1FE75F7B" w14:textId="7155C904"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0009399C">
        <w:rPr>
          <w:rFonts w:ascii="Arial" w:hAnsi="Arial" w:cs="Arial"/>
        </w:rPr>
        <w:t>_</w:t>
      </w:r>
      <w:r w:rsidRPr="009E20C3">
        <w:rPr>
          <w:rFonts w:ascii="Arial" w:hAnsi="Arial" w:cs="Arial"/>
          <w:i/>
          <w:lang w:val="en-GB"/>
        </w:rPr>
        <w:t>Report of the directors of convict prisons</w:t>
      </w:r>
      <w:r w:rsidR="0009399C">
        <w:rPr>
          <w:rFonts w:ascii="Arial" w:hAnsi="Arial" w:cs="Arial"/>
          <w:lang w:val="en-GB"/>
        </w:rPr>
        <w:t>_.</w:t>
      </w:r>
      <w:r w:rsidRPr="009E20C3">
        <w:rPr>
          <w:rFonts w:ascii="Arial" w:hAnsi="Arial" w:cs="Arial"/>
          <w:lang w:val="en-GB"/>
        </w:rPr>
        <w:t xml:space="preserve"> PP, 1867-68 [4083], XXXIV, </w:t>
      </w:r>
      <w:r w:rsidRPr="009E20C3">
        <w:rPr>
          <w:rFonts w:ascii="Arial" w:hAnsi="Arial" w:cs="Arial"/>
          <w:iCs/>
          <w:lang w:val="en-GB"/>
        </w:rPr>
        <w:t>519, p</w:t>
      </w:r>
      <w:r w:rsidRPr="009E20C3">
        <w:rPr>
          <w:rFonts w:ascii="Arial" w:hAnsi="Arial" w:cs="Arial"/>
          <w:lang w:val="en-GB"/>
        </w:rPr>
        <w:t>.191.</w:t>
      </w:r>
    </w:p>
  </w:footnote>
  <w:footnote w:id="6">
    <w:p w14:paraId="0A46B0C7" w14:textId="25014AF7"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Pr="009E20C3">
        <w:rPr>
          <w:rFonts w:ascii="Arial" w:hAnsi="Arial" w:cs="Arial"/>
          <w:lang w:val="en-GB"/>
        </w:rPr>
        <w:t>Austin Bidwell</w:t>
      </w:r>
      <w:r w:rsidR="0009399C">
        <w:rPr>
          <w:rFonts w:ascii="Arial" w:hAnsi="Arial" w:cs="Arial"/>
          <w:lang w:val="en-GB"/>
        </w:rPr>
        <w:t>.</w:t>
      </w:r>
      <w:r w:rsidRPr="009E20C3">
        <w:rPr>
          <w:rFonts w:ascii="Arial" w:hAnsi="Arial" w:cs="Arial"/>
          <w:lang w:val="en-GB"/>
        </w:rPr>
        <w:t xml:space="preserve"> </w:t>
      </w:r>
      <w:r w:rsidR="0009399C">
        <w:rPr>
          <w:rFonts w:ascii="Arial" w:hAnsi="Arial" w:cs="Arial"/>
          <w:lang w:val="en-GB"/>
        </w:rPr>
        <w:t>_</w:t>
      </w:r>
      <w:r w:rsidRPr="009E20C3">
        <w:rPr>
          <w:rFonts w:ascii="Arial" w:hAnsi="Arial" w:cs="Arial"/>
          <w:i/>
          <w:iCs/>
          <w:lang w:val="en-GB"/>
        </w:rPr>
        <w:t>From Wall Street to Newgate via The Primrose Way</w:t>
      </w:r>
      <w:r w:rsidR="0009399C">
        <w:rPr>
          <w:rFonts w:ascii="Arial" w:hAnsi="Arial" w:cs="Arial"/>
          <w:i/>
          <w:iCs/>
          <w:lang w:val="en-GB"/>
        </w:rPr>
        <w:t>_.</w:t>
      </w:r>
      <w:r w:rsidRPr="009E20C3">
        <w:rPr>
          <w:rFonts w:ascii="Arial" w:hAnsi="Arial" w:cs="Arial"/>
          <w:lang w:val="en-GB"/>
        </w:rPr>
        <w:t xml:space="preserve"> Hartford, CT: Bidwell Publishing Company, 1895, pp.398-9.</w:t>
      </w:r>
    </w:p>
  </w:footnote>
  <w:footnote w:id="7">
    <w:p w14:paraId="54F87385" w14:textId="297D516F"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r w:rsidR="0009399C">
        <w:rPr>
          <w:rFonts w:ascii="Arial" w:hAnsi="Arial" w:cs="Arial"/>
        </w:rPr>
        <w:t>_</w:t>
      </w:r>
      <w:r w:rsidRPr="009E20C3">
        <w:rPr>
          <w:rFonts w:ascii="Arial" w:hAnsi="Arial" w:cs="Arial"/>
          <w:i/>
          <w:lang w:val="en-GB"/>
        </w:rPr>
        <w:t>Report of the commissioners appointed to inquire into the working of the penal servitude acts</w:t>
      </w:r>
      <w:r w:rsidR="0009399C">
        <w:rPr>
          <w:rFonts w:ascii="Arial" w:hAnsi="Arial" w:cs="Arial"/>
          <w:lang w:val="en-GB"/>
        </w:rPr>
        <w:t>_.</w:t>
      </w:r>
      <w:r w:rsidRPr="009E20C3">
        <w:rPr>
          <w:rFonts w:ascii="Arial" w:hAnsi="Arial" w:cs="Arial"/>
          <w:lang w:val="en-GB"/>
        </w:rPr>
        <w:t xml:space="preserve"> PP, 1878-79 [C.2368], XXXVII, 1, pp.210, 213, 589.</w:t>
      </w:r>
    </w:p>
  </w:footnote>
  <w:footnote w:id="8">
    <w:p w14:paraId="5A749C1E" w14:textId="63D72D77" w:rsidR="009E20C3" w:rsidRPr="009E20C3" w:rsidRDefault="009E20C3" w:rsidP="009E20C3">
      <w:pPr>
        <w:pStyle w:val="FootnoteText"/>
        <w:spacing w:line="360" w:lineRule="auto"/>
        <w:rPr>
          <w:rFonts w:ascii="Arial" w:hAnsi="Arial" w:cs="Arial"/>
          <w:lang w:val="en-GB"/>
        </w:rPr>
      </w:pPr>
      <w:r w:rsidRPr="009E20C3">
        <w:rPr>
          <w:rStyle w:val="FootnoteReference"/>
          <w:rFonts w:ascii="Arial" w:hAnsi="Arial" w:cs="Arial"/>
        </w:rPr>
        <w:footnoteRef/>
      </w:r>
      <w:r w:rsidRPr="009E20C3">
        <w:rPr>
          <w:rFonts w:ascii="Arial" w:hAnsi="Arial" w:cs="Arial"/>
        </w:rPr>
        <w:t xml:space="preserve"> </w:t>
      </w:r>
      <w:bookmarkStart w:id="0" w:name="_Hlk5872710"/>
      <w:r w:rsidRPr="009E20C3">
        <w:rPr>
          <w:rFonts w:ascii="Arial" w:hAnsi="Arial" w:cs="Arial"/>
          <w:lang w:val="en-GB"/>
        </w:rPr>
        <w:t>Anon.</w:t>
      </w:r>
      <w:bookmarkStart w:id="1" w:name="_Hlk5699402"/>
      <w:r w:rsidRPr="009E20C3">
        <w:rPr>
          <w:rFonts w:ascii="Arial" w:hAnsi="Arial" w:cs="Arial"/>
          <w:lang w:val="en-GB"/>
        </w:rPr>
        <w:t xml:space="preserve"> </w:t>
      </w:r>
      <w:r w:rsidR="0009399C">
        <w:rPr>
          <w:rFonts w:ascii="Arial" w:hAnsi="Arial" w:cs="Arial"/>
          <w:lang w:val="en-GB"/>
        </w:rPr>
        <w:t>_</w:t>
      </w:r>
      <w:r w:rsidRPr="009E20C3">
        <w:rPr>
          <w:rFonts w:ascii="Arial" w:hAnsi="Arial" w:cs="Arial"/>
          <w:i/>
          <w:lang w:val="en-GB"/>
        </w:rPr>
        <w:t>Twenty-Five Years in Seventeen Prisons</w:t>
      </w:r>
      <w:bookmarkEnd w:id="0"/>
      <w:r w:rsidRPr="009E20C3">
        <w:rPr>
          <w:rFonts w:ascii="Arial" w:hAnsi="Arial" w:cs="Arial"/>
          <w:i/>
          <w:lang w:val="en-GB"/>
        </w:rPr>
        <w:t>: The Life Story of an Ex-Convict, With his Impressions of our Prison System By ‘No.7’</w:t>
      </w:r>
      <w:r w:rsidR="0009399C">
        <w:rPr>
          <w:rFonts w:ascii="Arial" w:hAnsi="Arial" w:cs="Arial"/>
          <w:i/>
          <w:lang w:val="en-GB"/>
        </w:rPr>
        <w:t>_.</w:t>
      </w:r>
      <w:r w:rsidRPr="009E20C3">
        <w:rPr>
          <w:rFonts w:ascii="Arial" w:hAnsi="Arial" w:cs="Arial"/>
          <w:lang w:val="en-GB"/>
        </w:rPr>
        <w:t xml:space="preserve"> London: Hutchinson &amp; Co., 1906</w:t>
      </w:r>
      <w:bookmarkEnd w:id="1"/>
      <w:r w:rsidRPr="009E20C3">
        <w:rPr>
          <w:rFonts w:ascii="Arial" w:hAnsi="Arial" w:cs="Arial"/>
          <w:lang w:val="en-GB"/>
        </w:rPr>
        <w:t>, p.71.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44"/>
    <w:rsid w:val="0009399C"/>
    <w:rsid w:val="001312B4"/>
    <w:rsid w:val="00132216"/>
    <w:rsid w:val="001A3097"/>
    <w:rsid w:val="001F49C9"/>
    <w:rsid w:val="00215138"/>
    <w:rsid w:val="00313DED"/>
    <w:rsid w:val="00440181"/>
    <w:rsid w:val="004E047A"/>
    <w:rsid w:val="00544E71"/>
    <w:rsid w:val="00571840"/>
    <w:rsid w:val="00571869"/>
    <w:rsid w:val="005805F0"/>
    <w:rsid w:val="00587F35"/>
    <w:rsid w:val="005900EA"/>
    <w:rsid w:val="005A61CE"/>
    <w:rsid w:val="0071413F"/>
    <w:rsid w:val="00735E79"/>
    <w:rsid w:val="0077766F"/>
    <w:rsid w:val="007C2C34"/>
    <w:rsid w:val="00815EAB"/>
    <w:rsid w:val="00890A65"/>
    <w:rsid w:val="008C421A"/>
    <w:rsid w:val="009E20C3"/>
    <w:rsid w:val="00AA2FA7"/>
    <w:rsid w:val="00AE7C06"/>
    <w:rsid w:val="00B1336E"/>
    <w:rsid w:val="00BA2788"/>
    <w:rsid w:val="00BA474A"/>
    <w:rsid w:val="00BC49FC"/>
    <w:rsid w:val="00C21773"/>
    <w:rsid w:val="00C3294A"/>
    <w:rsid w:val="00C83EC0"/>
    <w:rsid w:val="00CA2F89"/>
    <w:rsid w:val="00D50344"/>
    <w:rsid w:val="00D64EE5"/>
    <w:rsid w:val="00D76D2C"/>
    <w:rsid w:val="00DF6005"/>
    <w:rsid w:val="00E23401"/>
    <w:rsid w:val="00E83413"/>
    <w:rsid w:val="00EE5D7E"/>
    <w:rsid w:val="00F6474B"/>
    <w:rsid w:val="00FB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69D6C"/>
  <w15:chartTrackingRefBased/>
  <w15:docId w15:val="{FC6736BD-10A7-4D43-824A-254135BB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E20C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9E20C3"/>
    <w:rPr>
      <w:rFonts w:ascii="Times New Roman" w:eastAsia="Times New Roman" w:hAnsi="Times New Roman" w:cs="Times New Roman"/>
      <w:sz w:val="20"/>
      <w:szCs w:val="20"/>
      <w:lang w:val="en-US"/>
    </w:rPr>
  </w:style>
  <w:style w:type="character" w:styleId="FootnoteReference">
    <w:name w:val="footnote reference"/>
    <w:rsid w:val="009E20C3"/>
    <w:rPr>
      <w:vertAlign w:val="superscript"/>
    </w:rPr>
  </w:style>
  <w:style w:type="paragraph" w:styleId="Header">
    <w:name w:val="header"/>
    <w:basedOn w:val="Normal"/>
    <w:link w:val="HeaderChar"/>
    <w:uiPriority w:val="99"/>
    <w:unhideWhenUsed/>
    <w:rsid w:val="00580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5F0"/>
  </w:style>
  <w:style w:type="paragraph" w:styleId="Footer">
    <w:name w:val="footer"/>
    <w:basedOn w:val="Normal"/>
    <w:link w:val="FooterChar"/>
    <w:uiPriority w:val="99"/>
    <w:unhideWhenUsed/>
    <w:rsid w:val="00580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5F0"/>
  </w:style>
  <w:style w:type="character" w:styleId="Hyperlink">
    <w:name w:val="Hyperlink"/>
    <w:basedOn w:val="DefaultParagraphFont"/>
    <w:uiPriority w:val="99"/>
    <w:unhideWhenUsed/>
    <w:rsid w:val="00440181"/>
    <w:rPr>
      <w:color w:val="0563C1" w:themeColor="hyperlink"/>
      <w:u w:val="single"/>
    </w:rPr>
  </w:style>
  <w:style w:type="character" w:styleId="UnresolvedMention">
    <w:name w:val="Unresolved Mention"/>
    <w:basedOn w:val="DefaultParagraphFont"/>
    <w:uiPriority w:val="99"/>
    <w:semiHidden/>
    <w:unhideWhenUsed/>
    <w:rsid w:val="00440181"/>
    <w:rPr>
      <w:color w:val="605E5C"/>
      <w:shd w:val="clear" w:color="auto" w:fill="E1DFDD"/>
    </w:rPr>
  </w:style>
  <w:style w:type="character" w:styleId="FollowedHyperlink">
    <w:name w:val="FollowedHyperlink"/>
    <w:basedOn w:val="DefaultParagraphFont"/>
    <w:uiPriority w:val="99"/>
    <w:semiHidden/>
    <w:unhideWhenUsed/>
    <w:rsid w:val="000939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lmarinas.co.uk/marinas/mdl-chatham-maritime-marina/" TargetMode="External"/><Relationship Id="rId3" Type="http://schemas.openxmlformats.org/officeDocument/2006/relationships/webSettings" Target="webSettings.xml"/><Relationship Id="rId7" Type="http://schemas.openxmlformats.org/officeDocument/2006/relationships/hyperlink" Target="https://en.wikipedia.org/wiki/Royal_Naval_Barracks,_Chatha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oshua_Jeb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cmtrus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Bethell</dc:creator>
  <cp:keywords/>
  <dc:description/>
  <cp:lastModifiedBy>Carolyn Oulton</cp:lastModifiedBy>
  <cp:revision>5</cp:revision>
  <dcterms:created xsi:type="dcterms:W3CDTF">2022-09-03T20:30:00Z</dcterms:created>
  <dcterms:modified xsi:type="dcterms:W3CDTF">2022-09-03T20:59:00Z</dcterms:modified>
</cp:coreProperties>
</file>