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7F07D" w14:textId="467318CC" w:rsidR="00753BFE" w:rsidRDefault="00753BFE" w:rsidP="00753BFE">
      <w:pPr>
        <w:spacing w:line="480" w:lineRule="auto"/>
        <w:rPr>
          <w:rFonts w:ascii="Arial" w:hAnsi="Arial" w:cs="Arial"/>
          <w:b/>
          <w:bCs/>
          <w:sz w:val="24"/>
          <w:szCs w:val="24"/>
        </w:rPr>
      </w:pPr>
      <w:r w:rsidRPr="00753BFE">
        <w:rPr>
          <w:rFonts w:ascii="Arial" w:hAnsi="Arial" w:cs="Arial"/>
          <w:b/>
          <w:bCs/>
          <w:sz w:val="24"/>
          <w:szCs w:val="24"/>
        </w:rPr>
        <w:t>Maidstone convict prison</w:t>
      </w:r>
    </w:p>
    <w:p w14:paraId="488B278B" w14:textId="31E8449F" w:rsidR="00162911" w:rsidRPr="00753BFE" w:rsidRDefault="00162911" w:rsidP="00753BFE">
      <w:pPr>
        <w:spacing w:line="480" w:lineRule="auto"/>
        <w:rPr>
          <w:rFonts w:ascii="Arial" w:hAnsi="Arial" w:cs="Arial"/>
          <w:b/>
          <w:bCs/>
          <w:sz w:val="24"/>
          <w:szCs w:val="24"/>
        </w:rPr>
      </w:pPr>
      <w:r>
        <w:rPr>
          <w:rFonts w:ascii="Arial" w:hAnsi="Arial" w:cs="Arial"/>
          <w:b/>
          <w:bCs/>
          <w:sz w:val="24"/>
          <w:szCs w:val="24"/>
        </w:rPr>
        <w:t>Dr Ben Bethell</w:t>
      </w:r>
    </w:p>
    <w:p w14:paraId="1D41C421" w14:textId="459CB933" w:rsidR="00753BFE" w:rsidRPr="00753BFE" w:rsidRDefault="00753BFE" w:rsidP="00753BFE">
      <w:pPr>
        <w:spacing w:line="480" w:lineRule="auto"/>
        <w:rPr>
          <w:rFonts w:ascii="Arial" w:hAnsi="Arial" w:cs="Arial"/>
          <w:sz w:val="24"/>
          <w:szCs w:val="24"/>
        </w:rPr>
      </w:pPr>
      <w:r w:rsidRPr="00753BFE">
        <w:rPr>
          <w:rFonts w:ascii="Arial" w:hAnsi="Arial" w:cs="Arial"/>
          <w:sz w:val="24"/>
          <w:szCs w:val="24"/>
        </w:rPr>
        <w:t>Maidstone convict prison opened in 1909, built alongside the town’s nineteenth-century local jail. In an unusual arrangement, the two establishments shared a perimeter wall but were run entirely separately</w:t>
      </w:r>
      <w:r w:rsidR="005E69C3">
        <w:rPr>
          <w:rFonts w:ascii="Arial" w:hAnsi="Arial" w:cs="Arial"/>
          <w:sz w:val="24"/>
          <w:szCs w:val="24"/>
        </w:rPr>
        <w:t>. A</w:t>
      </w:r>
      <w:r w:rsidRPr="00753BFE">
        <w:rPr>
          <w:rFonts w:ascii="Arial" w:hAnsi="Arial" w:cs="Arial"/>
          <w:sz w:val="24"/>
          <w:szCs w:val="24"/>
        </w:rPr>
        <w:t xml:space="preserve">t the jail, prisoners served sentences of no more than two years, whereas the convict prison held men sentenced to penal servitude for a minimum term of three years, and often far longer. Over time, the convict prison encroached gradually on its neighbour, eventually occupying the entire site, including the older buildings, once the jail closed in 1930. </w:t>
      </w:r>
    </w:p>
    <w:p w14:paraId="7F0DDBDC" w14:textId="3F01E509" w:rsidR="00753BFE" w:rsidRPr="00A455AD" w:rsidRDefault="00753BFE" w:rsidP="00753BFE">
      <w:pPr>
        <w:spacing w:line="480" w:lineRule="auto"/>
        <w:rPr>
          <w:rFonts w:ascii="Arial" w:hAnsi="Arial" w:cs="Arial"/>
          <w:sz w:val="24"/>
          <w:szCs w:val="24"/>
        </w:rPr>
      </w:pPr>
      <w:r w:rsidRPr="00753BFE">
        <w:rPr>
          <w:rFonts w:ascii="Arial" w:hAnsi="Arial" w:cs="Arial"/>
          <w:sz w:val="24"/>
          <w:szCs w:val="24"/>
        </w:rPr>
        <w:t xml:space="preserve">     The convict prison’s population was also atypical. Much smaller than its </w:t>
      </w:r>
      <w:r w:rsidRPr="00753BFE">
        <w:rPr>
          <w:rFonts w:ascii="Arial" w:hAnsi="Arial" w:cs="Arial"/>
          <w:sz w:val="24"/>
          <w:szCs w:val="24"/>
          <w:u w:val="single"/>
        </w:rPr>
        <w:t>‘</w:t>
      </w:r>
      <w:r w:rsidR="00162911">
        <w:rPr>
          <w:rFonts w:ascii="Arial" w:hAnsi="Arial" w:cs="Arial"/>
          <w:sz w:val="24"/>
          <w:szCs w:val="24"/>
          <w:u w:val="single"/>
        </w:rPr>
        <w:t>[</w:t>
      </w:r>
      <w:r w:rsidRPr="00753BFE">
        <w:rPr>
          <w:rFonts w:ascii="Arial" w:hAnsi="Arial" w:cs="Arial"/>
          <w:sz w:val="24"/>
          <w:szCs w:val="24"/>
          <w:u w:val="single"/>
        </w:rPr>
        <w:t>public works’ predecess</w:t>
      </w:r>
      <w:bookmarkStart w:id="0" w:name="_GoBack"/>
      <w:bookmarkEnd w:id="0"/>
      <w:r w:rsidRPr="00753BFE">
        <w:rPr>
          <w:rFonts w:ascii="Arial" w:hAnsi="Arial" w:cs="Arial"/>
          <w:sz w:val="24"/>
          <w:szCs w:val="24"/>
          <w:u w:val="single"/>
        </w:rPr>
        <w:t>ors</w:t>
      </w:r>
      <w:r w:rsidR="00162911">
        <w:rPr>
          <w:rFonts w:ascii="Arial" w:hAnsi="Arial" w:cs="Arial"/>
          <w:sz w:val="24"/>
          <w:szCs w:val="24"/>
          <w:u w:val="single"/>
        </w:rPr>
        <w:t>]</w:t>
      </w:r>
      <w:r w:rsidRPr="00753BFE">
        <w:rPr>
          <w:rFonts w:ascii="Arial" w:hAnsi="Arial" w:cs="Arial"/>
          <w:sz w:val="24"/>
          <w:szCs w:val="24"/>
        </w:rPr>
        <w:t xml:space="preserve">, with capacity for upwards of 300 men, it was reserved for ‘star </w:t>
      </w:r>
      <w:r w:rsidRPr="00A455AD">
        <w:rPr>
          <w:rFonts w:ascii="Arial" w:hAnsi="Arial" w:cs="Arial"/>
          <w:sz w:val="24"/>
          <w:szCs w:val="24"/>
        </w:rPr>
        <w:t>class’ convicts</w:t>
      </w:r>
      <w:r w:rsidR="00A455AD">
        <w:rPr>
          <w:rFonts w:ascii="Arial" w:hAnsi="Arial" w:cs="Arial"/>
          <w:sz w:val="24"/>
          <w:szCs w:val="24"/>
        </w:rPr>
        <w:t xml:space="preserve">. </w:t>
      </w:r>
      <w:r w:rsidR="003A2758" w:rsidRPr="00A455AD">
        <w:rPr>
          <w:rFonts w:ascii="Arial" w:hAnsi="Arial" w:cs="Arial"/>
          <w:sz w:val="24"/>
          <w:szCs w:val="24"/>
        </w:rPr>
        <w:t>These were men</w:t>
      </w:r>
      <w:r w:rsidRPr="00A455AD">
        <w:rPr>
          <w:rFonts w:ascii="Arial" w:hAnsi="Arial" w:cs="Arial"/>
          <w:sz w:val="24"/>
          <w:szCs w:val="24"/>
        </w:rPr>
        <w:t xml:space="preserve"> sent to prison for a first offence, though one serious enough to merit a sentence of penal</w:t>
      </w:r>
      <w:r w:rsidRPr="00753BFE">
        <w:rPr>
          <w:rFonts w:ascii="Arial" w:hAnsi="Arial" w:cs="Arial"/>
          <w:sz w:val="24"/>
          <w:szCs w:val="24"/>
        </w:rPr>
        <w:t xml:space="preserve"> servitude</w:t>
      </w:r>
      <w:r w:rsidR="00304208">
        <w:rPr>
          <w:rFonts w:ascii="Arial" w:hAnsi="Arial" w:cs="Arial"/>
          <w:sz w:val="24"/>
          <w:szCs w:val="24"/>
        </w:rPr>
        <w:t>. L</w:t>
      </w:r>
      <w:r w:rsidRPr="00753BFE">
        <w:rPr>
          <w:rFonts w:ascii="Arial" w:hAnsi="Arial" w:cs="Arial"/>
          <w:sz w:val="24"/>
          <w:szCs w:val="24"/>
        </w:rPr>
        <w:t>argely absent at Maidstone were the</w:t>
      </w:r>
      <w:r w:rsidR="00A455AD">
        <w:rPr>
          <w:rFonts w:ascii="Arial" w:hAnsi="Arial" w:cs="Arial"/>
          <w:sz w:val="24"/>
          <w:szCs w:val="24"/>
        </w:rPr>
        <w:t xml:space="preserve"> ‘career’</w:t>
      </w:r>
      <w:r w:rsidRPr="00753BFE">
        <w:rPr>
          <w:rFonts w:ascii="Arial" w:hAnsi="Arial" w:cs="Arial"/>
          <w:sz w:val="24"/>
          <w:szCs w:val="24"/>
        </w:rPr>
        <w:t xml:space="preserve"> thieves, burglars</w:t>
      </w:r>
      <w:r w:rsidR="00C813A4">
        <w:rPr>
          <w:rFonts w:ascii="Arial" w:hAnsi="Arial" w:cs="Arial"/>
          <w:sz w:val="24"/>
          <w:szCs w:val="24"/>
        </w:rPr>
        <w:t>,</w:t>
      </w:r>
      <w:r w:rsidRPr="00753BFE">
        <w:rPr>
          <w:rFonts w:ascii="Arial" w:hAnsi="Arial" w:cs="Arial"/>
          <w:sz w:val="24"/>
          <w:szCs w:val="24"/>
        </w:rPr>
        <w:t xml:space="preserve"> and bank robbers to be found in other convict establishments</w:t>
      </w:r>
      <w:r w:rsidR="00A455AD">
        <w:rPr>
          <w:rFonts w:ascii="Arial" w:hAnsi="Arial" w:cs="Arial"/>
          <w:sz w:val="24"/>
          <w:szCs w:val="24"/>
        </w:rPr>
        <w:t>. I</w:t>
      </w:r>
      <w:r w:rsidRPr="00753BFE">
        <w:rPr>
          <w:rFonts w:ascii="Arial" w:hAnsi="Arial" w:cs="Arial"/>
          <w:sz w:val="24"/>
          <w:szCs w:val="24"/>
        </w:rPr>
        <w:t>nstead, its ‘star men’ included many ‘white collar’ criminals – disgraced bank managers</w:t>
      </w:r>
      <w:r w:rsidR="003A202D">
        <w:rPr>
          <w:rFonts w:ascii="Arial" w:hAnsi="Arial" w:cs="Arial"/>
          <w:sz w:val="24"/>
          <w:szCs w:val="24"/>
        </w:rPr>
        <w:t>, bent solicitors,</w:t>
      </w:r>
      <w:r w:rsidRPr="00753BFE">
        <w:rPr>
          <w:rFonts w:ascii="Arial" w:hAnsi="Arial" w:cs="Arial"/>
          <w:sz w:val="24"/>
          <w:szCs w:val="24"/>
        </w:rPr>
        <w:t xml:space="preserve"> high-profile fraudsters – and an equally high proportion of sex offenders (a category that at the time included men sentenced under England’s sodomy laws for consensual sex </w:t>
      </w:r>
      <w:r w:rsidR="0014652B">
        <w:rPr>
          <w:rFonts w:ascii="Arial" w:hAnsi="Arial" w:cs="Arial"/>
          <w:sz w:val="24"/>
          <w:szCs w:val="24"/>
        </w:rPr>
        <w:t>with</w:t>
      </w:r>
      <w:r w:rsidRPr="00753BFE">
        <w:rPr>
          <w:rFonts w:ascii="Arial" w:hAnsi="Arial" w:cs="Arial"/>
          <w:sz w:val="24"/>
          <w:szCs w:val="24"/>
        </w:rPr>
        <w:t xml:space="preserve"> men). There were also abortionists, arsonists, bigamists and blackmailers, as well as </w:t>
      </w:r>
      <w:r w:rsidR="000F154F">
        <w:rPr>
          <w:rFonts w:ascii="Arial" w:hAnsi="Arial" w:cs="Arial"/>
          <w:sz w:val="24"/>
          <w:szCs w:val="24"/>
        </w:rPr>
        <w:t>prisoners</w:t>
      </w:r>
      <w:r w:rsidRPr="00753BFE">
        <w:rPr>
          <w:rFonts w:ascii="Arial" w:hAnsi="Arial" w:cs="Arial"/>
          <w:sz w:val="24"/>
          <w:szCs w:val="24"/>
        </w:rPr>
        <w:t xml:space="preserve"> sentenced to death for murder but then reprieved</w:t>
      </w:r>
      <w:r w:rsidR="000F154F">
        <w:rPr>
          <w:rFonts w:ascii="Arial" w:hAnsi="Arial" w:cs="Arial"/>
          <w:sz w:val="24"/>
          <w:szCs w:val="24"/>
        </w:rPr>
        <w:t xml:space="preserve">. </w:t>
      </w:r>
      <w:r w:rsidR="00B24352">
        <w:rPr>
          <w:rFonts w:ascii="Arial" w:hAnsi="Arial" w:cs="Arial"/>
          <w:sz w:val="24"/>
          <w:szCs w:val="24"/>
        </w:rPr>
        <w:t>The latter were mainly men</w:t>
      </w:r>
      <w:r w:rsidR="001F281D" w:rsidRPr="001F281D">
        <w:rPr>
          <w:rFonts w:ascii="Arial" w:hAnsi="Arial" w:cs="Arial"/>
          <w:sz w:val="24"/>
          <w:szCs w:val="24"/>
        </w:rPr>
        <w:t xml:space="preserve"> who</w:t>
      </w:r>
      <w:r w:rsidR="00D96591" w:rsidRPr="00D96591">
        <w:rPr>
          <w:rFonts w:ascii="Arial" w:hAnsi="Arial" w:cs="Arial"/>
          <w:sz w:val="24"/>
          <w:szCs w:val="24"/>
        </w:rPr>
        <w:t xml:space="preserve"> </w:t>
      </w:r>
      <w:r w:rsidR="00B341D3" w:rsidRPr="00B341D3">
        <w:rPr>
          <w:rFonts w:ascii="Arial" w:hAnsi="Arial" w:cs="Arial"/>
          <w:sz w:val="24"/>
          <w:szCs w:val="24"/>
        </w:rPr>
        <w:t>had committed ‘crimes of passion’</w:t>
      </w:r>
      <w:r w:rsidR="00B341D3">
        <w:rPr>
          <w:rFonts w:ascii="Arial" w:hAnsi="Arial" w:cs="Arial"/>
          <w:sz w:val="24"/>
          <w:szCs w:val="24"/>
        </w:rPr>
        <w:t xml:space="preserve"> or </w:t>
      </w:r>
      <w:r w:rsidR="00D96591" w:rsidRPr="00D96591">
        <w:rPr>
          <w:rFonts w:ascii="Arial" w:hAnsi="Arial" w:cs="Arial"/>
          <w:sz w:val="24"/>
          <w:szCs w:val="24"/>
        </w:rPr>
        <w:t>killed their wives during domestic incidents</w:t>
      </w:r>
      <w:r w:rsidR="00D96591">
        <w:rPr>
          <w:rFonts w:ascii="Arial" w:hAnsi="Arial" w:cs="Arial"/>
          <w:sz w:val="24"/>
          <w:szCs w:val="24"/>
        </w:rPr>
        <w:t xml:space="preserve">. </w:t>
      </w:r>
      <w:r w:rsidR="00684488">
        <w:rPr>
          <w:rFonts w:ascii="Arial" w:hAnsi="Arial" w:cs="Arial"/>
          <w:sz w:val="24"/>
          <w:szCs w:val="24"/>
        </w:rPr>
        <w:t>A</w:t>
      </w:r>
      <w:r w:rsidR="00920D77">
        <w:rPr>
          <w:rFonts w:ascii="Arial" w:hAnsi="Arial" w:cs="Arial"/>
          <w:sz w:val="24"/>
          <w:szCs w:val="24"/>
        </w:rPr>
        <w:t>s</w:t>
      </w:r>
      <w:r w:rsidR="00B24352">
        <w:rPr>
          <w:rFonts w:ascii="Arial" w:hAnsi="Arial" w:cs="Arial"/>
          <w:sz w:val="24"/>
          <w:szCs w:val="24"/>
        </w:rPr>
        <w:t xml:space="preserve"> such</w:t>
      </w:r>
      <w:r w:rsidR="001F281D">
        <w:rPr>
          <w:rFonts w:ascii="Arial" w:hAnsi="Arial" w:cs="Arial"/>
          <w:sz w:val="24"/>
          <w:szCs w:val="24"/>
        </w:rPr>
        <w:t>,</w:t>
      </w:r>
      <w:r w:rsidR="00B24352">
        <w:rPr>
          <w:rFonts w:ascii="Arial" w:hAnsi="Arial" w:cs="Arial"/>
          <w:sz w:val="24"/>
          <w:szCs w:val="24"/>
        </w:rPr>
        <w:t xml:space="preserve"> </w:t>
      </w:r>
      <w:r w:rsidR="00684488">
        <w:rPr>
          <w:rFonts w:ascii="Arial" w:hAnsi="Arial" w:cs="Arial"/>
          <w:sz w:val="24"/>
          <w:szCs w:val="24"/>
        </w:rPr>
        <w:t xml:space="preserve">they were </w:t>
      </w:r>
      <w:r w:rsidR="00B24352">
        <w:rPr>
          <w:rFonts w:ascii="Arial" w:hAnsi="Arial" w:cs="Arial"/>
          <w:sz w:val="24"/>
          <w:szCs w:val="24"/>
        </w:rPr>
        <w:t>more likely to receive clemenc</w:t>
      </w:r>
      <w:r w:rsidR="006C1E45">
        <w:rPr>
          <w:rFonts w:ascii="Arial" w:hAnsi="Arial" w:cs="Arial"/>
          <w:sz w:val="24"/>
          <w:szCs w:val="24"/>
        </w:rPr>
        <w:t>y,</w:t>
      </w:r>
      <w:r w:rsidR="00B24352">
        <w:rPr>
          <w:rFonts w:ascii="Arial" w:hAnsi="Arial" w:cs="Arial"/>
          <w:sz w:val="24"/>
          <w:szCs w:val="24"/>
        </w:rPr>
        <w:t xml:space="preserve"> </w:t>
      </w:r>
      <w:r w:rsidR="006C1E45">
        <w:rPr>
          <w:rFonts w:ascii="Arial" w:hAnsi="Arial" w:cs="Arial"/>
          <w:sz w:val="24"/>
          <w:szCs w:val="24"/>
        </w:rPr>
        <w:t xml:space="preserve">and as they were </w:t>
      </w:r>
      <w:r w:rsidR="00B24352">
        <w:rPr>
          <w:rFonts w:ascii="Arial" w:hAnsi="Arial" w:cs="Arial"/>
          <w:sz w:val="24"/>
          <w:szCs w:val="24"/>
        </w:rPr>
        <w:t>often first offenders</w:t>
      </w:r>
      <w:r w:rsidR="006C1E45">
        <w:rPr>
          <w:rFonts w:ascii="Arial" w:hAnsi="Arial" w:cs="Arial"/>
          <w:sz w:val="24"/>
          <w:szCs w:val="24"/>
        </w:rPr>
        <w:t>,</w:t>
      </w:r>
      <w:r w:rsidR="00B24352">
        <w:rPr>
          <w:rFonts w:ascii="Arial" w:hAnsi="Arial" w:cs="Arial"/>
          <w:sz w:val="24"/>
          <w:szCs w:val="24"/>
        </w:rPr>
        <w:t xml:space="preserve"> </w:t>
      </w:r>
      <w:r w:rsidR="00B24352" w:rsidRPr="00B24352">
        <w:rPr>
          <w:rFonts w:ascii="Arial" w:hAnsi="Arial" w:cs="Arial"/>
          <w:sz w:val="24"/>
          <w:szCs w:val="24"/>
        </w:rPr>
        <w:t>Maidstone became famous for its concentration of ‘lifers’</w:t>
      </w:r>
      <w:r w:rsidR="00B24352">
        <w:rPr>
          <w:rFonts w:ascii="Arial" w:hAnsi="Arial" w:cs="Arial"/>
          <w:sz w:val="24"/>
          <w:szCs w:val="24"/>
        </w:rPr>
        <w:t>.</w:t>
      </w:r>
    </w:p>
    <w:p w14:paraId="702C0C16" w14:textId="04477348" w:rsidR="005C074D" w:rsidRDefault="00753BFE" w:rsidP="00753BFE">
      <w:pPr>
        <w:spacing w:line="480" w:lineRule="auto"/>
        <w:rPr>
          <w:rFonts w:ascii="Arial" w:hAnsi="Arial" w:cs="Arial"/>
          <w:sz w:val="24"/>
          <w:szCs w:val="24"/>
        </w:rPr>
      </w:pPr>
      <w:r w:rsidRPr="00753BFE">
        <w:rPr>
          <w:rFonts w:ascii="Arial" w:hAnsi="Arial" w:cs="Arial"/>
          <w:sz w:val="24"/>
          <w:szCs w:val="24"/>
        </w:rPr>
        <w:lastRenderedPageBreak/>
        <w:t xml:space="preserve">     It was conceived as a ‘show’ prison, according to one former governor, and was ‘much the best equipped prison in England before the First World War.’</w:t>
      </w:r>
      <w:r w:rsidRPr="00753BFE">
        <w:rPr>
          <w:rFonts w:ascii="Arial" w:hAnsi="Arial" w:cs="Arial"/>
          <w:sz w:val="24"/>
          <w:szCs w:val="24"/>
          <w:vertAlign w:val="superscript"/>
        </w:rPr>
        <w:footnoteReference w:id="1"/>
      </w:r>
      <w:r w:rsidRPr="00753BFE">
        <w:rPr>
          <w:rFonts w:ascii="Arial" w:hAnsi="Arial" w:cs="Arial"/>
          <w:sz w:val="24"/>
          <w:szCs w:val="24"/>
        </w:rPr>
        <w:t xml:space="preserve"> A</w:t>
      </w:r>
      <w:r w:rsidR="00C813A4">
        <w:rPr>
          <w:rFonts w:ascii="Arial" w:hAnsi="Arial" w:cs="Arial"/>
          <w:sz w:val="24"/>
          <w:szCs w:val="24"/>
        </w:rPr>
        <w:t xml:space="preserve"> former</w:t>
      </w:r>
      <w:r w:rsidRPr="00753BFE">
        <w:rPr>
          <w:rFonts w:ascii="Arial" w:hAnsi="Arial" w:cs="Arial"/>
          <w:sz w:val="24"/>
          <w:szCs w:val="24"/>
        </w:rPr>
        <w:t xml:space="preserve"> insurance assessor who was there in the early 1930s, sentenced for a series of commercial arsons, found its ‘efficiency and cleanliness … astonishing’; it was, an officer informed him, ‘the finest bloody prison in the world’.</w:t>
      </w:r>
      <w:r w:rsidRPr="00753BFE">
        <w:rPr>
          <w:rFonts w:ascii="Arial" w:hAnsi="Arial" w:cs="Arial"/>
          <w:sz w:val="24"/>
          <w:szCs w:val="24"/>
          <w:vertAlign w:val="superscript"/>
        </w:rPr>
        <w:footnoteReference w:id="2"/>
      </w:r>
      <w:r w:rsidRPr="00753BFE">
        <w:rPr>
          <w:rFonts w:ascii="Arial" w:hAnsi="Arial" w:cs="Arial"/>
          <w:sz w:val="24"/>
          <w:szCs w:val="24"/>
        </w:rPr>
        <w:t xml:space="preserve"> One of his contemporaries, a disbarred solicitor, learned similarly that he had ‘“come to </w:t>
      </w:r>
      <w:proofErr w:type="spellStart"/>
      <w:r w:rsidRPr="00753BFE">
        <w:rPr>
          <w:rFonts w:ascii="Arial" w:hAnsi="Arial" w:cs="Arial"/>
          <w:sz w:val="24"/>
          <w:szCs w:val="24"/>
        </w:rPr>
        <w:t>th</w:t>
      </w:r>
      <w:proofErr w:type="spellEnd"/>
      <w:r w:rsidRPr="00753BFE">
        <w:rPr>
          <w:rFonts w:ascii="Arial" w:hAnsi="Arial" w:cs="Arial"/>
          <w:sz w:val="24"/>
          <w:szCs w:val="24"/>
        </w:rPr>
        <w:t xml:space="preserve">’ best prison </w:t>
      </w:r>
      <w:proofErr w:type="spellStart"/>
      <w:r w:rsidRPr="00753BFE">
        <w:rPr>
          <w:rFonts w:ascii="Arial" w:hAnsi="Arial" w:cs="Arial"/>
          <w:sz w:val="24"/>
          <w:szCs w:val="24"/>
        </w:rPr>
        <w:t>i</w:t>
      </w:r>
      <w:proofErr w:type="spellEnd"/>
      <w:r w:rsidRPr="00753BFE">
        <w:rPr>
          <w:rFonts w:ascii="Arial" w:hAnsi="Arial" w:cs="Arial"/>
          <w:sz w:val="24"/>
          <w:szCs w:val="24"/>
        </w:rPr>
        <w:t xml:space="preserve">’ </w:t>
      </w:r>
      <w:proofErr w:type="spellStart"/>
      <w:r w:rsidRPr="00753BFE">
        <w:rPr>
          <w:rFonts w:ascii="Arial" w:hAnsi="Arial" w:cs="Arial"/>
          <w:sz w:val="24"/>
          <w:szCs w:val="24"/>
        </w:rPr>
        <w:t>Hingland</w:t>
      </w:r>
      <w:proofErr w:type="spellEnd"/>
      <w:r w:rsidRPr="00753BFE">
        <w:rPr>
          <w:rFonts w:ascii="Arial" w:hAnsi="Arial" w:cs="Arial"/>
          <w:sz w:val="24"/>
          <w:szCs w:val="24"/>
        </w:rPr>
        <w:t>”’, information ‘bellowed’ at him upon arrival by its chief officer.</w:t>
      </w:r>
      <w:r w:rsidRPr="00753BFE">
        <w:rPr>
          <w:rFonts w:ascii="Arial" w:hAnsi="Arial" w:cs="Arial"/>
          <w:sz w:val="24"/>
          <w:szCs w:val="24"/>
          <w:vertAlign w:val="superscript"/>
        </w:rPr>
        <w:footnoteReference w:id="3"/>
      </w:r>
      <w:r w:rsidRPr="00753BFE">
        <w:rPr>
          <w:rFonts w:ascii="Arial" w:hAnsi="Arial" w:cs="Arial"/>
          <w:sz w:val="24"/>
          <w:szCs w:val="24"/>
        </w:rPr>
        <w:t xml:space="preserve"> </w:t>
      </w:r>
    </w:p>
    <w:p w14:paraId="51B877C3" w14:textId="15CF6309" w:rsidR="00753BFE" w:rsidRPr="00753BFE" w:rsidRDefault="005C074D" w:rsidP="00753BFE">
      <w:pPr>
        <w:spacing w:line="480" w:lineRule="auto"/>
        <w:rPr>
          <w:rFonts w:ascii="Arial" w:hAnsi="Arial" w:cs="Arial"/>
          <w:bCs/>
          <w:sz w:val="24"/>
          <w:szCs w:val="24"/>
        </w:rPr>
      </w:pPr>
      <w:r>
        <w:rPr>
          <w:rFonts w:ascii="Arial" w:hAnsi="Arial" w:cs="Arial"/>
          <w:sz w:val="24"/>
          <w:szCs w:val="24"/>
        </w:rPr>
        <w:t xml:space="preserve">     </w:t>
      </w:r>
      <w:r w:rsidR="00753BFE" w:rsidRPr="00753BFE">
        <w:rPr>
          <w:rFonts w:ascii="Arial" w:hAnsi="Arial" w:cs="Arial"/>
          <w:sz w:val="24"/>
          <w:szCs w:val="24"/>
        </w:rPr>
        <w:t xml:space="preserve">Maidstone’s ‘star men’ were subject to a light-touch disciplinary regime: a </w:t>
      </w:r>
      <w:r w:rsidR="00753BFE" w:rsidRPr="00753BFE">
        <w:rPr>
          <w:rFonts w:ascii="Arial" w:hAnsi="Arial" w:cs="Arial"/>
          <w:bCs/>
          <w:sz w:val="24"/>
          <w:szCs w:val="24"/>
        </w:rPr>
        <w:t xml:space="preserve">journalist visiting the prison in the 1920s </w:t>
      </w:r>
      <w:r w:rsidR="00067D87">
        <w:rPr>
          <w:rFonts w:ascii="Arial" w:hAnsi="Arial" w:cs="Arial"/>
          <w:bCs/>
          <w:sz w:val="24"/>
          <w:szCs w:val="24"/>
        </w:rPr>
        <w:t>noticed</w:t>
      </w:r>
      <w:r w:rsidR="00753BFE" w:rsidRPr="00753BFE">
        <w:rPr>
          <w:rFonts w:ascii="Arial" w:hAnsi="Arial" w:cs="Arial"/>
          <w:bCs/>
          <w:sz w:val="24"/>
          <w:szCs w:val="24"/>
        </w:rPr>
        <w:t xml:space="preserve"> that its officers </w:t>
      </w:r>
      <w:r w:rsidR="005E69C3">
        <w:rPr>
          <w:rFonts w:ascii="Arial" w:hAnsi="Arial" w:cs="Arial"/>
          <w:bCs/>
          <w:sz w:val="24"/>
          <w:szCs w:val="24"/>
        </w:rPr>
        <w:t xml:space="preserve">‘give </w:t>
      </w:r>
      <w:r w:rsidR="00753BFE" w:rsidRPr="00753BFE">
        <w:rPr>
          <w:rFonts w:ascii="Arial" w:hAnsi="Arial" w:cs="Arial"/>
          <w:bCs/>
          <w:sz w:val="24"/>
          <w:szCs w:val="24"/>
        </w:rPr>
        <w:t xml:space="preserve">as few orders as possible’, </w:t>
      </w:r>
      <w:r w:rsidR="00067D87">
        <w:rPr>
          <w:rFonts w:ascii="Arial" w:hAnsi="Arial" w:cs="Arial"/>
          <w:bCs/>
          <w:sz w:val="24"/>
          <w:szCs w:val="24"/>
        </w:rPr>
        <w:t>and that the</w:t>
      </w:r>
      <w:r w:rsidR="00753BFE" w:rsidRPr="00753BFE">
        <w:rPr>
          <w:rFonts w:ascii="Arial" w:hAnsi="Arial" w:cs="Arial"/>
          <w:bCs/>
          <w:sz w:val="24"/>
          <w:szCs w:val="24"/>
        </w:rPr>
        <w:t xml:space="preserve"> ‘whole body of criminals gave less trouble than a crowd of schoolboys’.</w:t>
      </w:r>
      <w:r w:rsidR="00753BFE" w:rsidRPr="00753BFE">
        <w:rPr>
          <w:rFonts w:ascii="Arial" w:hAnsi="Arial" w:cs="Arial"/>
          <w:bCs/>
          <w:sz w:val="24"/>
          <w:szCs w:val="24"/>
          <w:vertAlign w:val="superscript"/>
        </w:rPr>
        <w:footnoteReference w:id="4"/>
      </w:r>
      <w:r w:rsidR="00753BFE" w:rsidRPr="00753BFE">
        <w:rPr>
          <w:rFonts w:ascii="Arial" w:hAnsi="Arial" w:cs="Arial"/>
          <w:bCs/>
          <w:sz w:val="24"/>
          <w:szCs w:val="24"/>
        </w:rPr>
        <w:t xml:space="preserve"> A</w:t>
      </w:r>
      <w:r w:rsidR="00067D87">
        <w:rPr>
          <w:rFonts w:ascii="Arial" w:hAnsi="Arial" w:cs="Arial"/>
          <w:bCs/>
          <w:sz w:val="24"/>
          <w:szCs w:val="24"/>
        </w:rPr>
        <w:t>ccording to another</w:t>
      </w:r>
      <w:r w:rsidR="00753BFE" w:rsidRPr="00753BFE">
        <w:rPr>
          <w:rFonts w:ascii="Arial" w:hAnsi="Arial" w:cs="Arial"/>
          <w:bCs/>
          <w:sz w:val="24"/>
          <w:szCs w:val="24"/>
        </w:rPr>
        <w:t xml:space="preserve"> report</w:t>
      </w:r>
      <w:r w:rsidR="00067D87">
        <w:rPr>
          <w:rFonts w:ascii="Arial" w:hAnsi="Arial" w:cs="Arial"/>
          <w:bCs/>
          <w:sz w:val="24"/>
          <w:szCs w:val="24"/>
        </w:rPr>
        <w:t>,</w:t>
      </w:r>
      <w:r w:rsidR="00753BFE" w:rsidRPr="00753BFE">
        <w:rPr>
          <w:rFonts w:ascii="Arial" w:hAnsi="Arial" w:cs="Arial"/>
          <w:bCs/>
          <w:sz w:val="24"/>
          <w:szCs w:val="24"/>
        </w:rPr>
        <w:t xml:space="preserve"> it was ‘the custom of the governor … to present bunches of primroses and lavender to every prisoner twice a year’.</w:t>
      </w:r>
      <w:r w:rsidR="00753BFE" w:rsidRPr="00753BFE">
        <w:rPr>
          <w:rFonts w:ascii="Arial" w:hAnsi="Arial" w:cs="Arial"/>
          <w:bCs/>
          <w:sz w:val="24"/>
          <w:szCs w:val="24"/>
          <w:vertAlign w:val="superscript"/>
        </w:rPr>
        <w:footnoteReference w:id="5"/>
      </w:r>
      <w:r w:rsidR="00753BFE" w:rsidRPr="00753BFE">
        <w:rPr>
          <w:rFonts w:ascii="Arial" w:hAnsi="Arial" w:cs="Arial"/>
          <w:bCs/>
          <w:sz w:val="24"/>
          <w:szCs w:val="24"/>
        </w:rPr>
        <w:t xml:space="preserve"> At England’s other convict prisons, the interwar decades were tense: Parkhurst</w:t>
      </w:r>
      <w:r w:rsidR="0044514E">
        <w:rPr>
          <w:rFonts w:ascii="Arial" w:hAnsi="Arial" w:cs="Arial"/>
          <w:bCs/>
          <w:sz w:val="24"/>
          <w:szCs w:val="24"/>
        </w:rPr>
        <w:t xml:space="preserve"> witnessed a </w:t>
      </w:r>
      <w:r w:rsidR="00753BFE" w:rsidRPr="00753BFE">
        <w:rPr>
          <w:rFonts w:ascii="Arial" w:hAnsi="Arial" w:cs="Arial"/>
          <w:bCs/>
          <w:sz w:val="24"/>
          <w:szCs w:val="24"/>
        </w:rPr>
        <w:t xml:space="preserve">series of serious disturbances in 1926 and 1927, and </w:t>
      </w:r>
      <w:r w:rsidR="0044514E">
        <w:rPr>
          <w:rFonts w:ascii="Arial" w:hAnsi="Arial" w:cs="Arial"/>
          <w:bCs/>
          <w:sz w:val="24"/>
          <w:szCs w:val="24"/>
        </w:rPr>
        <w:t>in 1932 there was</w:t>
      </w:r>
      <w:r w:rsidR="003A202D">
        <w:rPr>
          <w:rFonts w:ascii="Arial" w:hAnsi="Arial" w:cs="Arial"/>
          <w:bCs/>
          <w:sz w:val="24"/>
          <w:szCs w:val="24"/>
        </w:rPr>
        <w:t xml:space="preserve"> a major riot </w:t>
      </w:r>
      <w:r w:rsidR="0044514E">
        <w:rPr>
          <w:rFonts w:ascii="Arial" w:hAnsi="Arial" w:cs="Arial"/>
          <w:bCs/>
          <w:sz w:val="24"/>
          <w:szCs w:val="24"/>
        </w:rPr>
        <w:t>at Dartmoor</w:t>
      </w:r>
      <w:r w:rsidR="00753BFE" w:rsidRPr="00753BFE">
        <w:rPr>
          <w:rFonts w:ascii="Arial" w:hAnsi="Arial" w:cs="Arial"/>
          <w:bCs/>
          <w:sz w:val="24"/>
          <w:szCs w:val="24"/>
        </w:rPr>
        <w:t>. At Maidstone, by contrast, tractable prisoners built an Italian Garden, enjoyed the use of a bowling green, and participated in an annual sports day. One year, the governor even organised a ‘motor show’, persuading a well-known dealership to lend him a ‘cavalcade of vehicles’, which were driven through the gates</w:t>
      </w:r>
      <w:r w:rsidR="0044514E">
        <w:rPr>
          <w:rFonts w:ascii="Arial" w:hAnsi="Arial" w:cs="Arial"/>
          <w:bCs/>
          <w:sz w:val="24"/>
          <w:szCs w:val="24"/>
        </w:rPr>
        <w:t xml:space="preserve"> and</w:t>
      </w:r>
      <w:r w:rsidR="00753BFE" w:rsidRPr="00753BFE">
        <w:rPr>
          <w:rFonts w:ascii="Arial" w:hAnsi="Arial" w:cs="Arial"/>
          <w:bCs/>
          <w:sz w:val="24"/>
          <w:szCs w:val="24"/>
        </w:rPr>
        <w:t xml:space="preserve"> into the prison grounds.</w:t>
      </w:r>
      <w:r w:rsidR="00753BFE" w:rsidRPr="00753BFE">
        <w:rPr>
          <w:rFonts w:ascii="Arial" w:hAnsi="Arial" w:cs="Arial"/>
          <w:bCs/>
          <w:sz w:val="24"/>
          <w:szCs w:val="24"/>
          <w:vertAlign w:val="superscript"/>
        </w:rPr>
        <w:footnoteReference w:id="6"/>
      </w:r>
    </w:p>
    <w:p w14:paraId="2CD762F6" w14:textId="37CD4EFE" w:rsidR="00753BFE" w:rsidRPr="00753BFE" w:rsidRDefault="00753BFE" w:rsidP="00753BFE">
      <w:pPr>
        <w:spacing w:line="480" w:lineRule="auto"/>
        <w:rPr>
          <w:rFonts w:ascii="Arial" w:hAnsi="Arial" w:cs="Arial"/>
          <w:bCs/>
          <w:sz w:val="24"/>
          <w:szCs w:val="24"/>
        </w:rPr>
      </w:pPr>
      <w:r w:rsidRPr="00753BFE">
        <w:rPr>
          <w:rFonts w:ascii="Arial" w:hAnsi="Arial" w:cs="Arial"/>
          <w:bCs/>
          <w:sz w:val="24"/>
          <w:szCs w:val="24"/>
        </w:rPr>
        <w:lastRenderedPageBreak/>
        <w:t xml:space="preserve">     Around a third of Maidstone’s convicts worked as printers, </w:t>
      </w:r>
      <w:r w:rsidR="0003791D">
        <w:rPr>
          <w:rFonts w:ascii="Arial" w:hAnsi="Arial" w:cs="Arial"/>
          <w:bCs/>
          <w:sz w:val="24"/>
          <w:szCs w:val="24"/>
        </w:rPr>
        <w:t>one of</w:t>
      </w:r>
      <w:r w:rsidRPr="00753BFE">
        <w:rPr>
          <w:rFonts w:ascii="Arial" w:hAnsi="Arial" w:cs="Arial"/>
          <w:bCs/>
          <w:sz w:val="24"/>
          <w:szCs w:val="24"/>
        </w:rPr>
        <w:t xml:space="preserve"> the most congenial forms of prison labour. A former convict described its printworks as a ‘large, airy, pleasant place’, where prisoners had ‘permission to behave like intelligent work-people instead of convicts on a treadmill’.</w:t>
      </w:r>
      <w:r w:rsidRPr="00753BFE">
        <w:rPr>
          <w:rFonts w:ascii="Arial" w:hAnsi="Arial" w:cs="Arial"/>
          <w:bCs/>
          <w:sz w:val="24"/>
          <w:szCs w:val="24"/>
          <w:vertAlign w:val="superscript"/>
        </w:rPr>
        <w:footnoteReference w:id="7"/>
      </w:r>
      <w:r w:rsidRPr="00753BFE">
        <w:rPr>
          <w:rFonts w:ascii="Arial" w:hAnsi="Arial" w:cs="Arial"/>
          <w:bCs/>
          <w:sz w:val="24"/>
          <w:szCs w:val="24"/>
        </w:rPr>
        <w:t xml:space="preserve"> Predictably enough, according to another ex-prisoner, it was ‘the shop to which most of the professional men [were] sent’, its ‘army of forced labour’ notable for convicts educated at ‘famous public schools and the universities’.</w:t>
      </w:r>
      <w:r w:rsidRPr="00753BFE">
        <w:rPr>
          <w:rFonts w:ascii="Arial" w:hAnsi="Arial" w:cs="Arial"/>
          <w:bCs/>
          <w:sz w:val="24"/>
          <w:szCs w:val="24"/>
          <w:vertAlign w:val="superscript"/>
        </w:rPr>
        <w:footnoteReference w:id="8"/>
      </w:r>
      <w:r w:rsidRPr="00753BFE">
        <w:rPr>
          <w:rFonts w:ascii="Arial" w:hAnsi="Arial" w:cs="Arial"/>
          <w:bCs/>
          <w:sz w:val="24"/>
          <w:szCs w:val="24"/>
        </w:rPr>
        <w:t xml:space="preserve"> A governor’s report confirms that the shop employed ‘the best class of prisoners’; in the mid-1920s these included </w:t>
      </w:r>
      <w:hyperlink r:id="rId6" w:history="1">
        <w:r w:rsidRPr="00753BFE">
          <w:rPr>
            <w:rFonts w:ascii="Arial" w:hAnsi="Arial" w:cs="Arial"/>
            <w:bCs/>
            <w:color w:val="0563C1" w:themeColor="hyperlink"/>
            <w:sz w:val="24"/>
            <w:szCs w:val="24"/>
            <w:u w:val="single"/>
          </w:rPr>
          <w:t>Horatio Bottomley</w:t>
        </w:r>
      </w:hyperlink>
      <w:r w:rsidRPr="00753BFE">
        <w:rPr>
          <w:rFonts w:ascii="Arial" w:hAnsi="Arial" w:cs="Arial"/>
          <w:bCs/>
          <w:sz w:val="24"/>
          <w:szCs w:val="24"/>
        </w:rPr>
        <w:t xml:space="preserve">, former proprietor of the populist </w:t>
      </w:r>
      <w:r w:rsidRPr="00753BFE">
        <w:rPr>
          <w:rFonts w:ascii="Arial" w:hAnsi="Arial" w:cs="Arial"/>
          <w:bCs/>
          <w:i/>
          <w:iCs/>
          <w:sz w:val="24"/>
          <w:szCs w:val="24"/>
        </w:rPr>
        <w:t>John Bull</w:t>
      </w:r>
      <w:r w:rsidRPr="00753BFE">
        <w:rPr>
          <w:rFonts w:ascii="Arial" w:hAnsi="Arial" w:cs="Arial"/>
          <w:bCs/>
          <w:sz w:val="24"/>
          <w:szCs w:val="24"/>
        </w:rPr>
        <w:t xml:space="preserve"> magazine and MP for Hackney South, whose fraudulent bond scheme had earned him a seven-year sentence. He</w:t>
      </w:r>
      <w:r w:rsidR="0003791D">
        <w:rPr>
          <w:rFonts w:ascii="Arial" w:hAnsi="Arial" w:cs="Arial"/>
          <w:bCs/>
          <w:sz w:val="24"/>
          <w:szCs w:val="24"/>
        </w:rPr>
        <w:t xml:space="preserve"> worked</w:t>
      </w:r>
      <w:r w:rsidRPr="00753BFE">
        <w:rPr>
          <w:rFonts w:ascii="Arial" w:hAnsi="Arial" w:cs="Arial"/>
          <w:bCs/>
          <w:sz w:val="24"/>
          <w:szCs w:val="24"/>
        </w:rPr>
        <w:t xml:space="preserve"> as a proof-reader, ‘the softest job in the prison’, according to a former governor, and was addressed as ‘sir’ by fellow prisoners (and possibly, the governor added, by some officers as well).</w:t>
      </w:r>
      <w:r w:rsidRPr="00753BFE">
        <w:rPr>
          <w:rFonts w:ascii="Arial" w:hAnsi="Arial" w:cs="Arial"/>
          <w:bCs/>
          <w:sz w:val="24"/>
          <w:szCs w:val="24"/>
          <w:vertAlign w:val="superscript"/>
        </w:rPr>
        <w:footnoteReference w:id="9"/>
      </w:r>
      <w:r w:rsidRPr="00753BFE">
        <w:rPr>
          <w:rFonts w:ascii="Arial" w:hAnsi="Arial" w:cs="Arial"/>
          <w:bCs/>
          <w:sz w:val="24"/>
          <w:szCs w:val="24"/>
        </w:rPr>
        <w:t xml:space="preserve"> </w:t>
      </w:r>
      <w:r w:rsidR="0003791D">
        <w:rPr>
          <w:rFonts w:ascii="Arial" w:hAnsi="Arial" w:cs="Arial"/>
          <w:bCs/>
          <w:sz w:val="24"/>
          <w:szCs w:val="24"/>
        </w:rPr>
        <w:t>Labouring</w:t>
      </w:r>
      <w:r w:rsidRPr="00753BFE">
        <w:rPr>
          <w:rFonts w:ascii="Arial" w:hAnsi="Arial" w:cs="Arial"/>
          <w:bCs/>
          <w:sz w:val="24"/>
          <w:szCs w:val="24"/>
        </w:rPr>
        <w:t xml:space="preserve"> alongside him was </w:t>
      </w:r>
      <w:hyperlink r:id="rId7" w:history="1">
        <w:r w:rsidRPr="00753BFE">
          <w:rPr>
            <w:rFonts w:ascii="Arial" w:hAnsi="Arial" w:cs="Arial"/>
            <w:bCs/>
            <w:color w:val="0563C1" w:themeColor="hyperlink"/>
            <w:sz w:val="24"/>
            <w:szCs w:val="24"/>
            <w:u w:val="single"/>
          </w:rPr>
          <w:t>Gerard Lee Bevan</w:t>
        </w:r>
      </w:hyperlink>
      <w:r w:rsidRPr="00753BFE">
        <w:rPr>
          <w:rFonts w:ascii="Arial" w:hAnsi="Arial" w:cs="Arial"/>
          <w:bCs/>
          <w:sz w:val="24"/>
          <w:szCs w:val="24"/>
        </w:rPr>
        <w:t>, the Eton and Cambridge-educated scion of a founding family of Barclays, sentenced to seven years for his role in a colossal fraud that</w:t>
      </w:r>
      <w:r w:rsidR="00067D87" w:rsidRPr="00067D87">
        <w:rPr>
          <w:rFonts w:ascii="Arial" w:hAnsi="Arial" w:cs="Arial"/>
          <w:bCs/>
          <w:sz w:val="24"/>
          <w:szCs w:val="24"/>
        </w:rPr>
        <w:t xml:space="preserve"> cost creditors and shareholders an estimated £4.5 million (around £180 million today).</w:t>
      </w:r>
      <w:r w:rsidRPr="00753BFE">
        <w:rPr>
          <w:rFonts w:ascii="Arial" w:hAnsi="Arial" w:cs="Arial"/>
          <w:bCs/>
          <w:sz w:val="24"/>
          <w:szCs w:val="24"/>
        </w:rPr>
        <w:t xml:space="preserve"> Both men lived permanently in the prison hospital, where they slept on comfortable beds and enjoyed luxuries such as butter, eggs and jam, exercising in the hospital garden away from other prisoners.</w:t>
      </w:r>
    </w:p>
    <w:p w14:paraId="5DFC3927" w14:textId="3118A9AE" w:rsidR="00753BFE" w:rsidRPr="00753BFE" w:rsidRDefault="00753BFE" w:rsidP="00753BFE">
      <w:pPr>
        <w:spacing w:line="480" w:lineRule="auto"/>
        <w:rPr>
          <w:rFonts w:ascii="Arial" w:hAnsi="Arial" w:cs="Arial"/>
          <w:bCs/>
          <w:sz w:val="24"/>
          <w:szCs w:val="24"/>
        </w:rPr>
      </w:pPr>
      <w:r w:rsidRPr="00753BFE">
        <w:rPr>
          <w:rFonts w:ascii="Arial" w:hAnsi="Arial" w:cs="Arial"/>
          <w:bCs/>
          <w:sz w:val="24"/>
          <w:szCs w:val="24"/>
        </w:rPr>
        <w:t xml:space="preserve">     A decade later, in 1935, a Sunday newspaper reported that Maidstone was home to ‘some the most well-known criminals of modern times’, among them Arthur Price, known as the ‘blind murderer’, a poultry farmer who had drowned his baby daughter </w:t>
      </w:r>
      <w:r w:rsidRPr="00753BFE">
        <w:rPr>
          <w:rFonts w:ascii="Arial" w:hAnsi="Arial" w:cs="Arial"/>
          <w:bCs/>
          <w:sz w:val="24"/>
          <w:szCs w:val="24"/>
        </w:rPr>
        <w:lastRenderedPageBreak/>
        <w:t>following an argument with his wife.</w:t>
      </w:r>
      <w:r w:rsidRPr="00753BFE">
        <w:rPr>
          <w:rFonts w:ascii="Arial" w:hAnsi="Arial" w:cs="Arial"/>
          <w:bCs/>
          <w:sz w:val="24"/>
          <w:szCs w:val="24"/>
          <w:vertAlign w:val="superscript"/>
        </w:rPr>
        <w:footnoteReference w:id="10"/>
      </w:r>
      <w:r w:rsidRPr="00753BFE">
        <w:rPr>
          <w:rFonts w:ascii="Arial" w:hAnsi="Arial" w:cs="Arial"/>
          <w:bCs/>
          <w:sz w:val="24"/>
          <w:szCs w:val="24"/>
        </w:rPr>
        <w:t xml:space="preserve"> Price’s case</w:t>
      </w:r>
      <w:r w:rsidR="0044514E">
        <w:rPr>
          <w:rFonts w:ascii="Arial" w:hAnsi="Arial" w:cs="Arial"/>
          <w:bCs/>
          <w:sz w:val="24"/>
          <w:szCs w:val="24"/>
        </w:rPr>
        <w:t xml:space="preserve"> </w:t>
      </w:r>
      <w:r w:rsidRPr="00753BFE">
        <w:rPr>
          <w:rFonts w:ascii="Arial" w:hAnsi="Arial" w:cs="Arial"/>
          <w:bCs/>
          <w:sz w:val="24"/>
          <w:szCs w:val="24"/>
        </w:rPr>
        <w:t>attracted wide public sympathy: a war injury had cost him his eyesight, which ‘some of the greatest specialists in the land’ attempted (without success) to restore during his time in prison.</w:t>
      </w:r>
      <w:r w:rsidRPr="00753BFE">
        <w:rPr>
          <w:rFonts w:ascii="Arial" w:hAnsi="Arial" w:cs="Arial"/>
          <w:bCs/>
          <w:sz w:val="24"/>
          <w:szCs w:val="24"/>
          <w:vertAlign w:val="superscript"/>
        </w:rPr>
        <w:footnoteReference w:id="11"/>
      </w:r>
      <w:r w:rsidRPr="00753BFE">
        <w:rPr>
          <w:rFonts w:ascii="Arial" w:hAnsi="Arial" w:cs="Arial"/>
          <w:bCs/>
          <w:sz w:val="24"/>
          <w:szCs w:val="24"/>
        </w:rPr>
        <w:t xml:space="preserve"> Other ‘celebrities’ (as the paper described them) included </w:t>
      </w:r>
      <w:hyperlink r:id="rId8" w:history="1">
        <w:r w:rsidRPr="00753BFE">
          <w:rPr>
            <w:rFonts w:ascii="Arial" w:hAnsi="Arial" w:cs="Arial"/>
            <w:bCs/>
            <w:color w:val="0563C1" w:themeColor="hyperlink"/>
            <w:sz w:val="24"/>
            <w:szCs w:val="24"/>
            <w:u w:val="single"/>
          </w:rPr>
          <w:t>Norman Baillie-Stewart</w:t>
        </w:r>
      </w:hyperlink>
      <w:r w:rsidRPr="00753BFE">
        <w:rPr>
          <w:rFonts w:ascii="Arial" w:hAnsi="Arial" w:cs="Arial"/>
          <w:bCs/>
          <w:sz w:val="24"/>
          <w:szCs w:val="24"/>
        </w:rPr>
        <w:t xml:space="preserve">, an army officer sentenced in 1933 to five years for selling military secrets to Nazi Germany (he would receive another five in 1946, having spent the war in Berlin, where he broadcasted for the enemy), and the fraudster </w:t>
      </w:r>
      <w:hyperlink r:id="rId9" w:history="1">
        <w:r w:rsidRPr="00753BFE">
          <w:rPr>
            <w:rFonts w:ascii="Arial" w:hAnsi="Arial" w:cs="Arial"/>
            <w:bCs/>
            <w:color w:val="0563C1" w:themeColor="hyperlink"/>
            <w:sz w:val="24"/>
            <w:szCs w:val="24"/>
            <w:u w:val="single"/>
          </w:rPr>
          <w:t xml:space="preserve">Clarence </w:t>
        </w:r>
        <w:proofErr w:type="spellStart"/>
        <w:r w:rsidRPr="00753BFE">
          <w:rPr>
            <w:rFonts w:ascii="Arial" w:hAnsi="Arial" w:cs="Arial"/>
            <w:bCs/>
            <w:color w:val="0563C1" w:themeColor="hyperlink"/>
            <w:sz w:val="24"/>
            <w:szCs w:val="24"/>
            <w:u w:val="single"/>
          </w:rPr>
          <w:t>Hatry</w:t>
        </w:r>
        <w:proofErr w:type="spellEnd"/>
      </w:hyperlink>
      <w:r w:rsidRPr="00753BFE">
        <w:rPr>
          <w:rFonts w:ascii="Arial" w:hAnsi="Arial" w:cs="Arial"/>
          <w:bCs/>
          <w:sz w:val="24"/>
          <w:szCs w:val="24"/>
        </w:rPr>
        <w:t>, whose offences were said to have precipitated the Wall Street Crash of 1929</w:t>
      </w:r>
      <w:r w:rsidR="0003791D">
        <w:rPr>
          <w:rFonts w:ascii="Arial" w:hAnsi="Arial" w:cs="Arial"/>
          <w:bCs/>
          <w:sz w:val="24"/>
          <w:szCs w:val="24"/>
        </w:rPr>
        <w:t xml:space="preserve">. </w:t>
      </w:r>
      <w:r w:rsidR="008F3D02">
        <w:rPr>
          <w:rFonts w:ascii="Arial" w:hAnsi="Arial" w:cs="Arial"/>
          <w:bCs/>
          <w:sz w:val="24"/>
          <w:szCs w:val="24"/>
        </w:rPr>
        <w:t>I</w:t>
      </w:r>
      <w:r w:rsidRPr="00753BFE">
        <w:rPr>
          <w:rFonts w:ascii="Arial" w:hAnsi="Arial" w:cs="Arial"/>
          <w:bCs/>
          <w:sz w:val="24"/>
          <w:szCs w:val="24"/>
        </w:rPr>
        <w:t>n his ‘well-fitting’ prison uniform, ‘with half an inch of spotless cuff showing and the check prison handkerchief carefully folded in his breast pocket’</w:t>
      </w:r>
      <w:r w:rsidR="008F3D02">
        <w:rPr>
          <w:rFonts w:ascii="Arial" w:hAnsi="Arial" w:cs="Arial"/>
          <w:bCs/>
          <w:sz w:val="24"/>
          <w:szCs w:val="24"/>
        </w:rPr>
        <w:t>,</w:t>
      </w:r>
      <w:r w:rsidR="008F3D02" w:rsidRPr="008F3D02">
        <w:rPr>
          <w:rFonts w:ascii="Arial" w:hAnsi="Arial" w:cs="Arial"/>
          <w:bCs/>
          <w:sz w:val="24"/>
          <w:szCs w:val="24"/>
        </w:rPr>
        <w:t xml:space="preserve"> </w:t>
      </w:r>
      <w:proofErr w:type="spellStart"/>
      <w:r w:rsidR="008F3D02" w:rsidRPr="008F3D02">
        <w:rPr>
          <w:rFonts w:ascii="Arial" w:hAnsi="Arial" w:cs="Arial"/>
          <w:bCs/>
          <w:sz w:val="24"/>
          <w:szCs w:val="24"/>
        </w:rPr>
        <w:t>Hatry</w:t>
      </w:r>
      <w:proofErr w:type="spellEnd"/>
      <w:r w:rsidR="008F3D02" w:rsidRPr="008F3D02">
        <w:rPr>
          <w:rFonts w:ascii="Arial" w:hAnsi="Arial" w:cs="Arial"/>
          <w:bCs/>
          <w:sz w:val="24"/>
          <w:szCs w:val="24"/>
        </w:rPr>
        <w:t xml:space="preserve"> was remembered by a contemporary as ‘the “Beau Brummell” of Maidstone Prison’</w:t>
      </w:r>
      <w:r w:rsidR="008F3D02">
        <w:rPr>
          <w:rFonts w:ascii="Arial" w:hAnsi="Arial" w:cs="Arial"/>
          <w:bCs/>
          <w:sz w:val="24"/>
          <w:szCs w:val="24"/>
        </w:rPr>
        <w:t>.</w:t>
      </w:r>
      <w:r w:rsidRPr="00753BFE">
        <w:rPr>
          <w:rFonts w:ascii="Arial" w:hAnsi="Arial" w:cs="Arial"/>
          <w:bCs/>
          <w:sz w:val="24"/>
          <w:szCs w:val="24"/>
          <w:vertAlign w:val="superscript"/>
        </w:rPr>
        <w:footnoteReference w:id="12"/>
      </w:r>
      <w:r w:rsidRPr="00753BFE">
        <w:rPr>
          <w:rFonts w:ascii="Arial" w:hAnsi="Arial" w:cs="Arial"/>
          <w:bCs/>
          <w:sz w:val="24"/>
          <w:szCs w:val="24"/>
        </w:rPr>
        <w:t xml:space="preserve"> </w:t>
      </w:r>
    </w:p>
    <w:p w14:paraId="30297971" w14:textId="2993C1AF" w:rsidR="00753BFE" w:rsidRPr="00753BFE" w:rsidRDefault="00753BFE" w:rsidP="00753BFE">
      <w:pPr>
        <w:spacing w:line="480" w:lineRule="auto"/>
        <w:rPr>
          <w:rFonts w:ascii="Arial" w:hAnsi="Arial" w:cs="Arial"/>
          <w:bCs/>
          <w:sz w:val="24"/>
          <w:szCs w:val="24"/>
        </w:rPr>
      </w:pPr>
      <w:r w:rsidRPr="00753BFE">
        <w:rPr>
          <w:rFonts w:ascii="Arial" w:hAnsi="Arial" w:cs="Arial"/>
          <w:bCs/>
          <w:sz w:val="24"/>
          <w:szCs w:val="24"/>
        </w:rPr>
        <w:t xml:space="preserve">     In 1939, Maidstone’s ‘star men’ were evacuated to the Isle of Wight. The prison </w:t>
      </w:r>
      <w:r w:rsidR="00DE35DC">
        <w:rPr>
          <w:rFonts w:ascii="Arial" w:hAnsi="Arial" w:cs="Arial"/>
          <w:bCs/>
          <w:sz w:val="24"/>
          <w:szCs w:val="24"/>
        </w:rPr>
        <w:t xml:space="preserve">then </w:t>
      </w:r>
      <w:r w:rsidRPr="00753BFE">
        <w:rPr>
          <w:rFonts w:ascii="Arial" w:hAnsi="Arial" w:cs="Arial"/>
          <w:bCs/>
          <w:sz w:val="24"/>
          <w:szCs w:val="24"/>
        </w:rPr>
        <w:t xml:space="preserve">remained open throughout the war and in 1944 became a ‘training centre’, where </w:t>
      </w:r>
      <w:r w:rsidR="006635ED">
        <w:rPr>
          <w:rFonts w:ascii="Arial" w:hAnsi="Arial" w:cs="Arial"/>
          <w:bCs/>
          <w:sz w:val="24"/>
          <w:szCs w:val="24"/>
        </w:rPr>
        <w:t xml:space="preserve">specially </w:t>
      </w:r>
      <w:r w:rsidRPr="00753BFE">
        <w:rPr>
          <w:rFonts w:ascii="Arial" w:hAnsi="Arial" w:cs="Arial"/>
          <w:bCs/>
          <w:sz w:val="24"/>
          <w:szCs w:val="24"/>
        </w:rPr>
        <w:t>selected prisoners</w:t>
      </w:r>
      <w:r w:rsidR="008F3D02">
        <w:rPr>
          <w:rFonts w:ascii="Arial" w:hAnsi="Arial" w:cs="Arial"/>
          <w:bCs/>
          <w:sz w:val="24"/>
          <w:szCs w:val="24"/>
        </w:rPr>
        <w:t xml:space="preserve"> received rehabilitative treatment</w:t>
      </w:r>
      <w:r w:rsidRPr="00753BFE">
        <w:rPr>
          <w:rFonts w:ascii="Arial" w:hAnsi="Arial" w:cs="Arial"/>
          <w:bCs/>
          <w:sz w:val="24"/>
          <w:szCs w:val="24"/>
        </w:rPr>
        <w:t xml:space="preserve">, an ‘experiment’ that came to an end twelve years later. Today, </w:t>
      </w:r>
      <w:hyperlink r:id="rId10" w:history="1">
        <w:r w:rsidRPr="00753BFE">
          <w:rPr>
            <w:rFonts w:ascii="Arial" w:hAnsi="Arial" w:cs="Arial"/>
            <w:bCs/>
            <w:color w:val="0563C1" w:themeColor="hyperlink"/>
            <w:sz w:val="24"/>
            <w:szCs w:val="24"/>
            <w:u w:val="single"/>
          </w:rPr>
          <w:t>HMP Maidstone</w:t>
        </w:r>
      </w:hyperlink>
      <w:r w:rsidRPr="00753BFE">
        <w:rPr>
          <w:rFonts w:ascii="Arial" w:hAnsi="Arial" w:cs="Arial"/>
          <w:bCs/>
          <w:sz w:val="24"/>
          <w:szCs w:val="24"/>
        </w:rPr>
        <w:t xml:space="preserve"> mainly hold</w:t>
      </w:r>
      <w:r w:rsidR="00DE35DC">
        <w:rPr>
          <w:rFonts w:ascii="Arial" w:hAnsi="Arial" w:cs="Arial"/>
          <w:bCs/>
          <w:sz w:val="24"/>
          <w:szCs w:val="24"/>
        </w:rPr>
        <w:t xml:space="preserve">s sex offenders and </w:t>
      </w:r>
      <w:r w:rsidR="00B32268">
        <w:rPr>
          <w:rFonts w:ascii="Arial" w:hAnsi="Arial" w:cs="Arial"/>
          <w:bCs/>
          <w:sz w:val="24"/>
          <w:szCs w:val="24"/>
        </w:rPr>
        <w:t>foreign national prisoners</w:t>
      </w:r>
      <w:r w:rsidR="006635ED">
        <w:rPr>
          <w:rFonts w:ascii="Arial" w:hAnsi="Arial" w:cs="Arial"/>
          <w:bCs/>
          <w:sz w:val="24"/>
          <w:szCs w:val="24"/>
        </w:rPr>
        <w:t xml:space="preserve">. </w:t>
      </w:r>
      <w:r w:rsidR="0021088E">
        <w:rPr>
          <w:rFonts w:ascii="Arial" w:hAnsi="Arial" w:cs="Arial"/>
          <w:bCs/>
          <w:sz w:val="24"/>
          <w:szCs w:val="24"/>
        </w:rPr>
        <w:t xml:space="preserve">Dating to the </w:t>
      </w:r>
      <w:r w:rsidR="009D53E9">
        <w:rPr>
          <w:rFonts w:ascii="Arial" w:hAnsi="Arial" w:cs="Arial"/>
          <w:bCs/>
          <w:sz w:val="24"/>
          <w:szCs w:val="24"/>
        </w:rPr>
        <w:t xml:space="preserve">early </w:t>
      </w:r>
      <w:r w:rsidR="0021088E">
        <w:rPr>
          <w:rFonts w:ascii="Arial" w:hAnsi="Arial" w:cs="Arial"/>
          <w:bCs/>
          <w:sz w:val="24"/>
          <w:szCs w:val="24"/>
        </w:rPr>
        <w:t>nineteenth century, s</w:t>
      </w:r>
      <w:r w:rsidRPr="00753BFE">
        <w:rPr>
          <w:rFonts w:ascii="Arial" w:hAnsi="Arial" w:cs="Arial"/>
          <w:bCs/>
          <w:sz w:val="24"/>
          <w:szCs w:val="24"/>
        </w:rPr>
        <w:t>ome of its prison buildings are among the oldest</w:t>
      </w:r>
      <w:r w:rsidR="00DE35DC">
        <w:rPr>
          <w:rFonts w:ascii="Arial" w:hAnsi="Arial" w:cs="Arial"/>
          <w:bCs/>
          <w:sz w:val="24"/>
          <w:szCs w:val="24"/>
        </w:rPr>
        <w:t xml:space="preserve"> still in use in the</w:t>
      </w:r>
      <w:r w:rsidR="0021088E">
        <w:rPr>
          <w:rFonts w:ascii="Arial" w:hAnsi="Arial" w:cs="Arial"/>
          <w:bCs/>
          <w:sz w:val="24"/>
          <w:szCs w:val="24"/>
        </w:rPr>
        <w:t xml:space="preserve"> UK</w:t>
      </w:r>
      <w:r w:rsidRPr="00753BFE">
        <w:rPr>
          <w:rFonts w:ascii="Arial" w:hAnsi="Arial" w:cs="Arial"/>
          <w:bCs/>
          <w:sz w:val="24"/>
          <w:szCs w:val="24"/>
        </w:rPr>
        <w:t xml:space="preserve">.  </w:t>
      </w:r>
    </w:p>
    <w:p w14:paraId="4224A996" w14:textId="77777777" w:rsidR="00753BFE" w:rsidRPr="00753BFE" w:rsidRDefault="00753BFE" w:rsidP="00753BFE">
      <w:pPr>
        <w:spacing w:line="480" w:lineRule="auto"/>
        <w:rPr>
          <w:rFonts w:ascii="Arial" w:hAnsi="Arial" w:cs="Arial"/>
          <w:sz w:val="24"/>
          <w:szCs w:val="24"/>
        </w:rPr>
      </w:pPr>
      <w:r w:rsidRPr="00753BFE">
        <w:rPr>
          <w:rFonts w:ascii="Arial" w:hAnsi="Arial" w:cs="Arial"/>
          <w:sz w:val="24"/>
          <w:szCs w:val="24"/>
        </w:rPr>
        <w:t>BIBLIOGRAPHY</w:t>
      </w:r>
    </w:p>
    <w:p w14:paraId="138AA88D" w14:textId="77777777" w:rsidR="00753BFE" w:rsidRPr="00753BFE" w:rsidRDefault="00753BFE" w:rsidP="00753BFE">
      <w:pPr>
        <w:spacing w:line="480" w:lineRule="auto"/>
        <w:rPr>
          <w:rFonts w:ascii="Arial" w:hAnsi="Arial" w:cs="Arial"/>
          <w:sz w:val="24"/>
          <w:szCs w:val="24"/>
        </w:rPr>
      </w:pPr>
      <w:r w:rsidRPr="00753BFE">
        <w:rPr>
          <w:rFonts w:ascii="Arial" w:hAnsi="Arial" w:cs="Arial"/>
          <w:sz w:val="24"/>
          <w:szCs w:val="24"/>
        </w:rPr>
        <w:t xml:space="preserve">Victor Bailey, </w:t>
      </w:r>
      <w:r w:rsidRPr="00753BFE">
        <w:rPr>
          <w:rFonts w:ascii="Arial" w:hAnsi="Arial" w:cs="Arial"/>
          <w:i/>
          <w:iCs/>
          <w:sz w:val="24"/>
          <w:szCs w:val="24"/>
        </w:rPr>
        <w:t>The Rise and Fall of the Rehabilitative Ideal, 1895-1970</w:t>
      </w:r>
      <w:r w:rsidRPr="00753BFE">
        <w:rPr>
          <w:rFonts w:ascii="Arial" w:hAnsi="Arial" w:cs="Arial"/>
          <w:sz w:val="24"/>
          <w:szCs w:val="24"/>
        </w:rPr>
        <w:t>, London: Routledge, 2019</w:t>
      </w:r>
    </w:p>
    <w:p w14:paraId="4970E085" w14:textId="0AD10C6D" w:rsidR="00753BFE" w:rsidRPr="00753BFE" w:rsidRDefault="00753BFE" w:rsidP="00753BFE">
      <w:pPr>
        <w:spacing w:line="480" w:lineRule="auto"/>
        <w:rPr>
          <w:rFonts w:ascii="Arial" w:hAnsi="Arial" w:cs="Arial"/>
          <w:sz w:val="24"/>
          <w:szCs w:val="24"/>
        </w:rPr>
      </w:pPr>
      <w:r w:rsidRPr="00753BFE">
        <w:rPr>
          <w:rFonts w:ascii="Arial" w:hAnsi="Arial" w:cs="Arial"/>
          <w:sz w:val="24"/>
          <w:szCs w:val="24"/>
        </w:rPr>
        <w:lastRenderedPageBreak/>
        <w:t xml:space="preserve">Ben Bethell, </w:t>
      </w:r>
      <w:r w:rsidRPr="00753BFE">
        <w:rPr>
          <w:rFonts w:ascii="Arial" w:hAnsi="Arial" w:cs="Arial"/>
          <w:i/>
          <w:iCs/>
          <w:sz w:val="24"/>
          <w:szCs w:val="24"/>
        </w:rPr>
        <w:t>‘Star Men’ in English Convict Prisons, 1879-1948</w:t>
      </w:r>
      <w:r w:rsidRPr="00753BFE">
        <w:rPr>
          <w:rFonts w:ascii="Arial" w:hAnsi="Arial" w:cs="Arial"/>
          <w:sz w:val="24"/>
          <w:szCs w:val="24"/>
        </w:rPr>
        <w:t>, London: Routledge, 202</w:t>
      </w:r>
      <w:r w:rsidR="00661DC0">
        <w:rPr>
          <w:rFonts w:ascii="Arial" w:hAnsi="Arial" w:cs="Arial"/>
          <w:sz w:val="24"/>
          <w:szCs w:val="24"/>
        </w:rPr>
        <w:t>2</w:t>
      </w:r>
    </w:p>
    <w:p w14:paraId="0A622A1B" w14:textId="77777777" w:rsidR="00753BFE" w:rsidRPr="00753BFE" w:rsidRDefault="00753BFE" w:rsidP="00753BFE">
      <w:pPr>
        <w:spacing w:line="480" w:lineRule="auto"/>
        <w:rPr>
          <w:rFonts w:ascii="Arial" w:hAnsi="Arial" w:cs="Arial"/>
          <w:b/>
          <w:bCs/>
          <w:color w:val="FF0000"/>
          <w:sz w:val="24"/>
          <w:szCs w:val="24"/>
        </w:rPr>
      </w:pPr>
    </w:p>
    <w:p w14:paraId="79C75B17" w14:textId="77777777" w:rsidR="00FD1144" w:rsidRPr="00753BFE" w:rsidRDefault="00FD1144" w:rsidP="00753BFE">
      <w:pPr>
        <w:spacing w:line="480" w:lineRule="auto"/>
        <w:rPr>
          <w:rFonts w:ascii="Arial" w:hAnsi="Arial" w:cs="Arial"/>
          <w:sz w:val="24"/>
          <w:szCs w:val="24"/>
        </w:rPr>
      </w:pPr>
    </w:p>
    <w:sectPr w:rsidR="00FD1144" w:rsidRPr="00753BF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3045C" w14:textId="77777777" w:rsidR="00AE0CB6" w:rsidRDefault="00AE0CB6" w:rsidP="00753BFE">
      <w:pPr>
        <w:spacing w:after="0" w:line="240" w:lineRule="auto"/>
      </w:pPr>
      <w:r>
        <w:separator/>
      </w:r>
    </w:p>
  </w:endnote>
  <w:endnote w:type="continuationSeparator" w:id="0">
    <w:p w14:paraId="16A3F290" w14:textId="77777777" w:rsidR="00AE0CB6" w:rsidRDefault="00AE0CB6" w:rsidP="00753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922233"/>
      <w:docPartObj>
        <w:docPartGallery w:val="Page Numbers (Bottom of Page)"/>
        <w:docPartUnique/>
      </w:docPartObj>
    </w:sdtPr>
    <w:sdtEndPr>
      <w:rPr>
        <w:noProof/>
      </w:rPr>
    </w:sdtEndPr>
    <w:sdtContent>
      <w:p w14:paraId="7DB2AAE2" w14:textId="5F04E045" w:rsidR="00D8341B" w:rsidRDefault="00D834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D9CB46" w14:textId="77777777" w:rsidR="00D8341B" w:rsidRDefault="00D83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80FE8" w14:textId="77777777" w:rsidR="00AE0CB6" w:rsidRDefault="00AE0CB6" w:rsidP="00753BFE">
      <w:pPr>
        <w:spacing w:after="0" w:line="240" w:lineRule="auto"/>
      </w:pPr>
      <w:r>
        <w:separator/>
      </w:r>
    </w:p>
  </w:footnote>
  <w:footnote w:type="continuationSeparator" w:id="0">
    <w:p w14:paraId="22E6BCD3" w14:textId="77777777" w:rsidR="00AE0CB6" w:rsidRDefault="00AE0CB6" w:rsidP="00753BFE">
      <w:pPr>
        <w:spacing w:after="0" w:line="240" w:lineRule="auto"/>
      </w:pPr>
      <w:r>
        <w:continuationSeparator/>
      </w:r>
    </w:p>
  </w:footnote>
  <w:footnote w:id="1">
    <w:p w14:paraId="72F614D6"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r w:rsidRPr="00753BFE">
        <w:rPr>
          <w:rFonts w:ascii="Arial" w:hAnsi="Arial" w:cs="Arial"/>
        </w:rPr>
        <w:t xml:space="preserve"> </w:t>
      </w:r>
      <w:r w:rsidRPr="00753BFE">
        <w:rPr>
          <w:rFonts w:ascii="Arial" w:hAnsi="Arial" w:cs="Arial"/>
          <w:lang w:val="en-GB"/>
        </w:rPr>
        <w:t xml:space="preserve">John Vidler and Michael Wolff, </w:t>
      </w:r>
      <w:r w:rsidRPr="00753BFE">
        <w:rPr>
          <w:rFonts w:ascii="Arial" w:hAnsi="Arial" w:cs="Arial"/>
          <w:i/>
          <w:lang w:val="en-GB"/>
        </w:rPr>
        <w:t>If Freedom Fail</w:t>
      </w:r>
      <w:r w:rsidRPr="00753BFE">
        <w:rPr>
          <w:rFonts w:ascii="Arial" w:hAnsi="Arial" w:cs="Arial"/>
          <w:lang w:val="en-GB"/>
        </w:rPr>
        <w:t>, London: Macmillan, 1964, p.78.</w:t>
      </w:r>
    </w:p>
  </w:footnote>
  <w:footnote w:id="2">
    <w:p w14:paraId="658A5D6F"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r w:rsidRPr="00753BFE">
        <w:rPr>
          <w:rFonts w:ascii="Arial" w:hAnsi="Arial" w:cs="Arial"/>
        </w:rPr>
        <w:t xml:space="preserve"> </w:t>
      </w:r>
      <w:r w:rsidRPr="00753BFE">
        <w:rPr>
          <w:rFonts w:ascii="Arial" w:hAnsi="Arial" w:cs="Arial"/>
          <w:lang w:val="en-GB"/>
        </w:rPr>
        <w:t xml:space="preserve">A.J. Loughborough Ball, </w:t>
      </w:r>
      <w:r w:rsidRPr="00753BFE">
        <w:rPr>
          <w:rFonts w:ascii="Arial" w:hAnsi="Arial" w:cs="Arial"/>
          <w:i/>
          <w:lang w:val="en-GB"/>
        </w:rPr>
        <w:t>Trial and Error: The Fire Conspiracy and After</w:t>
      </w:r>
      <w:r w:rsidRPr="00753BFE">
        <w:rPr>
          <w:rFonts w:ascii="Arial" w:hAnsi="Arial" w:cs="Arial"/>
          <w:lang w:val="en-GB"/>
        </w:rPr>
        <w:t>, London: Faber &amp; Faber, 1936, p.104.</w:t>
      </w:r>
    </w:p>
  </w:footnote>
  <w:footnote w:id="3">
    <w:p w14:paraId="082F69BB"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bookmarkStart w:id="1" w:name="_Hlk89375096"/>
      <w:r w:rsidRPr="00753BFE">
        <w:rPr>
          <w:rFonts w:ascii="Arial" w:hAnsi="Arial" w:cs="Arial"/>
          <w:lang w:val="en-GB"/>
        </w:rPr>
        <w:t xml:space="preserve"> James Leigh, </w:t>
      </w:r>
      <w:r w:rsidRPr="00753BFE">
        <w:rPr>
          <w:rFonts w:ascii="Arial" w:hAnsi="Arial" w:cs="Arial"/>
          <w:i/>
          <w:iCs/>
          <w:lang w:val="en-GB"/>
        </w:rPr>
        <w:t>My Prison House</w:t>
      </w:r>
      <w:r w:rsidRPr="00753BFE">
        <w:rPr>
          <w:rFonts w:ascii="Arial" w:hAnsi="Arial" w:cs="Arial"/>
          <w:lang w:val="en-GB"/>
        </w:rPr>
        <w:t>, London: Hutchinson &amp; Co., 1941</w:t>
      </w:r>
      <w:bookmarkEnd w:id="1"/>
      <w:r w:rsidRPr="00753BFE">
        <w:rPr>
          <w:rFonts w:ascii="Arial" w:hAnsi="Arial" w:cs="Arial"/>
          <w:lang w:val="en-GB"/>
        </w:rPr>
        <w:t>, p.148.</w:t>
      </w:r>
    </w:p>
  </w:footnote>
  <w:footnote w:id="4">
    <w:p w14:paraId="1DF7EED2"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r w:rsidRPr="00753BFE">
        <w:rPr>
          <w:rFonts w:ascii="Arial" w:hAnsi="Arial" w:cs="Arial"/>
        </w:rPr>
        <w:t xml:space="preserve"> </w:t>
      </w:r>
      <w:bookmarkStart w:id="2" w:name="_Hlk89372950"/>
      <w:r w:rsidRPr="00753BFE">
        <w:rPr>
          <w:rFonts w:ascii="Arial" w:hAnsi="Arial" w:cs="Arial"/>
          <w:lang w:val="en-GB"/>
        </w:rPr>
        <w:t xml:space="preserve">Sydney A. Moseley, </w:t>
      </w:r>
      <w:r w:rsidRPr="00753BFE">
        <w:rPr>
          <w:rFonts w:ascii="Arial" w:hAnsi="Arial" w:cs="Arial"/>
          <w:i/>
          <w:iCs/>
          <w:lang w:val="en-GB"/>
        </w:rPr>
        <w:t>The Convict of To-Day</w:t>
      </w:r>
      <w:r w:rsidRPr="00753BFE">
        <w:rPr>
          <w:rFonts w:ascii="Arial" w:hAnsi="Arial" w:cs="Arial"/>
          <w:lang w:val="en-GB"/>
        </w:rPr>
        <w:t>, London: Cecil Palmer, 1927</w:t>
      </w:r>
      <w:bookmarkEnd w:id="2"/>
      <w:r w:rsidRPr="00753BFE">
        <w:rPr>
          <w:rFonts w:ascii="Arial" w:hAnsi="Arial" w:cs="Arial"/>
          <w:lang w:val="en-GB"/>
        </w:rPr>
        <w:t>, p.179.</w:t>
      </w:r>
    </w:p>
  </w:footnote>
  <w:footnote w:id="5">
    <w:p w14:paraId="4B91B77E"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r w:rsidRPr="00753BFE">
        <w:rPr>
          <w:rFonts w:ascii="Arial" w:hAnsi="Arial" w:cs="Arial"/>
          <w:lang w:val="en-GB"/>
        </w:rPr>
        <w:t xml:space="preserve"> Stephen Hobhouse and A. Fenner Brockway, </w:t>
      </w:r>
      <w:r w:rsidRPr="00753BFE">
        <w:rPr>
          <w:rFonts w:ascii="Arial" w:hAnsi="Arial" w:cs="Arial"/>
          <w:i/>
          <w:lang w:val="en-GB"/>
        </w:rPr>
        <w:t>English Prisons To-day: Being the Report of the Prison System Enquiry</w:t>
      </w:r>
      <w:r w:rsidRPr="00753BFE">
        <w:rPr>
          <w:rFonts w:ascii="Arial" w:hAnsi="Arial" w:cs="Arial"/>
          <w:lang w:val="en-GB"/>
        </w:rPr>
        <w:t>, London: Longmans Green &amp; Co., 1922, p.324.</w:t>
      </w:r>
    </w:p>
  </w:footnote>
  <w:footnote w:id="6">
    <w:p w14:paraId="3039485F"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r w:rsidRPr="00753BFE">
        <w:rPr>
          <w:rFonts w:ascii="Arial" w:hAnsi="Arial" w:cs="Arial"/>
        </w:rPr>
        <w:t xml:space="preserve"> </w:t>
      </w:r>
      <w:bookmarkStart w:id="3" w:name="_Hlk89370301"/>
      <w:r w:rsidRPr="00753BFE">
        <w:rPr>
          <w:rFonts w:ascii="Arial" w:hAnsi="Arial" w:cs="Arial"/>
          <w:lang w:val="en-GB"/>
        </w:rPr>
        <w:t xml:space="preserve">Benjamin Dixon Grew, </w:t>
      </w:r>
      <w:r w:rsidRPr="00753BFE">
        <w:rPr>
          <w:rFonts w:ascii="Arial" w:hAnsi="Arial" w:cs="Arial"/>
          <w:i/>
          <w:iCs/>
          <w:lang w:val="en-GB"/>
        </w:rPr>
        <w:t>Prison Governor</w:t>
      </w:r>
      <w:r w:rsidRPr="00753BFE">
        <w:rPr>
          <w:rFonts w:ascii="Arial" w:hAnsi="Arial" w:cs="Arial"/>
          <w:lang w:val="en-GB"/>
        </w:rPr>
        <w:t>, London: Herbert Jenkins, 1958</w:t>
      </w:r>
      <w:bookmarkEnd w:id="3"/>
      <w:r w:rsidRPr="00753BFE">
        <w:rPr>
          <w:rFonts w:ascii="Arial" w:hAnsi="Arial" w:cs="Arial"/>
          <w:lang w:val="en-GB"/>
        </w:rPr>
        <w:t>, pp.93-4.</w:t>
      </w:r>
    </w:p>
  </w:footnote>
  <w:footnote w:id="7">
    <w:p w14:paraId="209A380F" w14:textId="77777777" w:rsidR="00753BFE" w:rsidRPr="00753BFE" w:rsidRDefault="00753BFE" w:rsidP="00753BFE">
      <w:pPr>
        <w:pStyle w:val="FootnoteText"/>
        <w:spacing w:line="360" w:lineRule="auto"/>
        <w:rPr>
          <w:rFonts w:ascii="Arial" w:hAnsi="Arial" w:cs="Arial"/>
          <w:color w:val="FF0000"/>
          <w:lang w:val="en-GB"/>
        </w:rPr>
      </w:pPr>
      <w:r w:rsidRPr="00753BFE">
        <w:rPr>
          <w:rStyle w:val="FootnoteReference"/>
          <w:rFonts w:ascii="Arial" w:hAnsi="Arial" w:cs="Arial"/>
        </w:rPr>
        <w:footnoteRef/>
      </w:r>
      <w:r w:rsidRPr="00753BFE">
        <w:rPr>
          <w:rFonts w:ascii="Arial" w:hAnsi="Arial" w:cs="Arial"/>
        </w:rPr>
        <w:t xml:space="preserve"> </w:t>
      </w:r>
      <w:bookmarkStart w:id="4" w:name="_Hlk8601200"/>
      <w:r w:rsidRPr="00753BFE">
        <w:rPr>
          <w:rFonts w:ascii="Arial" w:hAnsi="Arial" w:cs="Arial"/>
          <w:lang w:val="en-GB"/>
        </w:rPr>
        <w:t xml:space="preserve">Jim Phelan, </w:t>
      </w:r>
      <w:r w:rsidRPr="00753BFE">
        <w:rPr>
          <w:rFonts w:ascii="Arial" w:hAnsi="Arial" w:cs="Arial"/>
          <w:i/>
          <w:lang w:val="en-GB"/>
        </w:rPr>
        <w:t>Jail Journey</w:t>
      </w:r>
      <w:r w:rsidRPr="00753BFE">
        <w:rPr>
          <w:rFonts w:ascii="Arial" w:hAnsi="Arial" w:cs="Arial"/>
          <w:lang w:val="en-GB"/>
        </w:rPr>
        <w:t>, London: Secker &amp; Warburg, 1940</w:t>
      </w:r>
      <w:bookmarkEnd w:id="4"/>
      <w:r w:rsidRPr="00753BFE">
        <w:rPr>
          <w:rFonts w:ascii="Arial" w:hAnsi="Arial" w:cs="Arial"/>
          <w:lang w:val="en-GB"/>
        </w:rPr>
        <w:t>, pp.50, 59.</w:t>
      </w:r>
    </w:p>
  </w:footnote>
  <w:footnote w:id="8">
    <w:p w14:paraId="57655F3B" w14:textId="77777777" w:rsidR="00753BFE" w:rsidRPr="00753BFE" w:rsidRDefault="00753BFE" w:rsidP="00753BFE">
      <w:pPr>
        <w:pStyle w:val="FootnoteText"/>
        <w:spacing w:line="360" w:lineRule="auto"/>
        <w:rPr>
          <w:rFonts w:ascii="Arial" w:hAnsi="Arial" w:cs="Arial"/>
          <w:b/>
          <w:bCs/>
          <w:color w:val="FF0000"/>
          <w:lang w:val="en-GB"/>
        </w:rPr>
      </w:pPr>
      <w:r w:rsidRPr="00753BFE">
        <w:rPr>
          <w:rStyle w:val="FootnoteReference"/>
          <w:rFonts w:ascii="Arial" w:hAnsi="Arial" w:cs="Arial"/>
        </w:rPr>
        <w:footnoteRef/>
      </w:r>
      <w:r w:rsidRPr="00753BFE">
        <w:rPr>
          <w:rFonts w:ascii="Arial" w:hAnsi="Arial" w:cs="Arial"/>
          <w:lang w:val="en-GB"/>
        </w:rPr>
        <w:t xml:space="preserve"> Loughborough Ball, </w:t>
      </w:r>
      <w:r w:rsidRPr="00753BFE">
        <w:rPr>
          <w:rFonts w:ascii="Arial" w:hAnsi="Arial" w:cs="Arial"/>
          <w:i/>
          <w:iCs/>
          <w:lang w:val="en-GB"/>
        </w:rPr>
        <w:t>Trial and Error</w:t>
      </w:r>
      <w:r w:rsidRPr="00753BFE">
        <w:rPr>
          <w:rFonts w:ascii="Arial" w:hAnsi="Arial" w:cs="Arial"/>
          <w:lang w:val="en-GB"/>
        </w:rPr>
        <w:t>, pp.108-9.</w:t>
      </w:r>
    </w:p>
  </w:footnote>
  <w:footnote w:id="9">
    <w:p w14:paraId="670334B8"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r w:rsidRPr="00753BFE">
        <w:rPr>
          <w:rFonts w:ascii="Arial" w:hAnsi="Arial" w:cs="Arial"/>
        </w:rPr>
        <w:t xml:space="preserve"> </w:t>
      </w:r>
      <w:bookmarkStart w:id="5" w:name="_Hlk6042836"/>
      <w:r w:rsidRPr="00753BFE">
        <w:rPr>
          <w:rFonts w:ascii="Arial" w:hAnsi="Arial" w:cs="Arial"/>
          <w:i/>
          <w:iCs/>
          <w:lang w:val="en-GB"/>
        </w:rPr>
        <w:t>Report of the commissioners of prisons and directors of convict prisons</w:t>
      </w:r>
      <w:bookmarkEnd w:id="5"/>
      <w:r w:rsidRPr="00753BFE">
        <w:rPr>
          <w:rFonts w:ascii="Arial" w:hAnsi="Arial" w:cs="Arial"/>
          <w:lang w:val="en-GB"/>
        </w:rPr>
        <w:t xml:space="preserve">, PP, 1936-37 [Cmd.5430], XV, 1, p.73; Gerold Fancourt Clayton, </w:t>
      </w:r>
      <w:r w:rsidRPr="00753BFE">
        <w:rPr>
          <w:rFonts w:ascii="Arial" w:hAnsi="Arial" w:cs="Arial"/>
          <w:i/>
          <w:lang w:val="en-GB"/>
        </w:rPr>
        <w:t>The Wall is Strong: The Life of a Prison Governor</w:t>
      </w:r>
      <w:r w:rsidRPr="00753BFE">
        <w:rPr>
          <w:rFonts w:ascii="Arial" w:hAnsi="Arial" w:cs="Arial"/>
          <w:lang w:val="en-GB"/>
        </w:rPr>
        <w:t>, London: John Long, 1958, pp.90-1.</w:t>
      </w:r>
    </w:p>
  </w:footnote>
  <w:footnote w:id="10">
    <w:p w14:paraId="010A7254"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r w:rsidRPr="00753BFE">
        <w:rPr>
          <w:rFonts w:ascii="Arial" w:hAnsi="Arial" w:cs="Arial"/>
        </w:rPr>
        <w:t xml:space="preserve"> </w:t>
      </w:r>
      <w:r w:rsidRPr="00753BFE">
        <w:rPr>
          <w:rFonts w:ascii="Arial" w:hAnsi="Arial" w:cs="Arial"/>
          <w:i/>
          <w:iCs/>
          <w:lang w:val="en-GB"/>
        </w:rPr>
        <w:t>Sunday Dispatch</w:t>
      </w:r>
      <w:r w:rsidRPr="00753BFE">
        <w:rPr>
          <w:rFonts w:ascii="Arial" w:hAnsi="Arial" w:cs="Arial"/>
          <w:lang w:val="en-GB"/>
        </w:rPr>
        <w:t>, 28 January 1935.</w:t>
      </w:r>
    </w:p>
  </w:footnote>
  <w:footnote w:id="11">
    <w:p w14:paraId="08D0C12F"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r w:rsidRPr="00753BFE">
        <w:rPr>
          <w:rFonts w:ascii="Arial" w:hAnsi="Arial" w:cs="Arial"/>
        </w:rPr>
        <w:t xml:space="preserve"> </w:t>
      </w:r>
      <w:r w:rsidRPr="00753BFE">
        <w:rPr>
          <w:rFonts w:ascii="Arial" w:hAnsi="Arial" w:cs="Arial"/>
          <w:i/>
          <w:iCs/>
        </w:rPr>
        <w:t>Daily Mirror</w:t>
      </w:r>
      <w:r w:rsidRPr="00753BFE">
        <w:rPr>
          <w:rFonts w:ascii="Arial" w:hAnsi="Arial" w:cs="Arial"/>
        </w:rPr>
        <w:t>, 10 January 1939.</w:t>
      </w:r>
    </w:p>
  </w:footnote>
  <w:footnote w:id="12">
    <w:p w14:paraId="4B8FD22F" w14:textId="77777777" w:rsidR="00753BFE" w:rsidRPr="00753BFE" w:rsidRDefault="00753BFE" w:rsidP="00753BFE">
      <w:pPr>
        <w:pStyle w:val="FootnoteText"/>
        <w:spacing w:line="360" w:lineRule="auto"/>
        <w:rPr>
          <w:rFonts w:ascii="Arial" w:hAnsi="Arial" w:cs="Arial"/>
          <w:lang w:val="en-GB"/>
        </w:rPr>
      </w:pPr>
      <w:r w:rsidRPr="00753BFE">
        <w:rPr>
          <w:rStyle w:val="FootnoteReference"/>
          <w:rFonts w:ascii="Arial" w:hAnsi="Arial" w:cs="Arial"/>
        </w:rPr>
        <w:footnoteRef/>
      </w:r>
      <w:bookmarkStart w:id="6" w:name="_Hlk89370503"/>
      <w:r w:rsidRPr="00753BFE">
        <w:rPr>
          <w:rFonts w:ascii="Arial" w:hAnsi="Arial" w:cs="Arial"/>
          <w:lang w:val="en-GB"/>
        </w:rPr>
        <w:t xml:space="preserve"> Anon., </w:t>
      </w:r>
      <w:r w:rsidRPr="00753BFE">
        <w:rPr>
          <w:rFonts w:ascii="Arial" w:hAnsi="Arial" w:cs="Arial"/>
          <w:i/>
          <w:iCs/>
          <w:lang w:val="en-GB"/>
        </w:rPr>
        <w:t>Five Years for Fraud</w:t>
      </w:r>
      <w:r w:rsidRPr="00753BFE">
        <w:rPr>
          <w:rFonts w:ascii="Arial" w:hAnsi="Arial" w:cs="Arial"/>
          <w:lang w:val="en-GB"/>
        </w:rPr>
        <w:t>, London: Sampson Low, Marston &amp; Co</w:t>
      </w:r>
      <w:bookmarkEnd w:id="6"/>
      <w:r w:rsidRPr="00753BFE">
        <w:rPr>
          <w:rFonts w:ascii="Arial" w:hAnsi="Arial" w:cs="Arial"/>
          <w:lang w:val="en-GB"/>
        </w:rPr>
        <w:t>., [1936], p.274.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44"/>
    <w:rsid w:val="00021D00"/>
    <w:rsid w:val="0003791D"/>
    <w:rsid w:val="00067D87"/>
    <w:rsid w:val="000B182C"/>
    <w:rsid w:val="000B7BA2"/>
    <w:rsid w:val="000F154F"/>
    <w:rsid w:val="000F53D4"/>
    <w:rsid w:val="00115DB8"/>
    <w:rsid w:val="0014652B"/>
    <w:rsid w:val="00162911"/>
    <w:rsid w:val="001A20B9"/>
    <w:rsid w:val="001F281D"/>
    <w:rsid w:val="0021088E"/>
    <w:rsid w:val="002A4252"/>
    <w:rsid w:val="002B4FED"/>
    <w:rsid w:val="00304208"/>
    <w:rsid w:val="003663D4"/>
    <w:rsid w:val="003A1D71"/>
    <w:rsid w:val="003A202D"/>
    <w:rsid w:val="003A2758"/>
    <w:rsid w:val="003B2BF3"/>
    <w:rsid w:val="0044514E"/>
    <w:rsid w:val="005C074D"/>
    <w:rsid w:val="005E69C3"/>
    <w:rsid w:val="00661DC0"/>
    <w:rsid w:val="006635ED"/>
    <w:rsid w:val="00684488"/>
    <w:rsid w:val="006933A2"/>
    <w:rsid w:val="006C1E45"/>
    <w:rsid w:val="00753BFE"/>
    <w:rsid w:val="008D1798"/>
    <w:rsid w:val="008F3D02"/>
    <w:rsid w:val="00907CFA"/>
    <w:rsid w:val="00920D77"/>
    <w:rsid w:val="009348AB"/>
    <w:rsid w:val="009C61E2"/>
    <w:rsid w:val="009D53E9"/>
    <w:rsid w:val="009D73D0"/>
    <w:rsid w:val="00A146AE"/>
    <w:rsid w:val="00A455AD"/>
    <w:rsid w:val="00A70984"/>
    <w:rsid w:val="00AE0CB6"/>
    <w:rsid w:val="00B24352"/>
    <w:rsid w:val="00B262B9"/>
    <w:rsid w:val="00B32268"/>
    <w:rsid w:val="00B341D3"/>
    <w:rsid w:val="00BC6344"/>
    <w:rsid w:val="00BF6428"/>
    <w:rsid w:val="00C46EC5"/>
    <w:rsid w:val="00C64374"/>
    <w:rsid w:val="00C813A4"/>
    <w:rsid w:val="00D8341B"/>
    <w:rsid w:val="00D95578"/>
    <w:rsid w:val="00D96591"/>
    <w:rsid w:val="00DE35DC"/>
    <w:rsid w:val="00E03642"/>
    <w:rsid w:val="00F270FB"/>
    <w:rsid w:val="00F40031"/>
    <w:rsid w:val="00F77A06"/>
    <w:rsid w:val="00FD1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94C6D"/>
  <w15:chartTrackingRefBased/>
  <w15:docId w15:val="{C72F1B41-B67C-4F58-B46C-F5BD8BB8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753BFE"/>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753BFE"/>
    <w:rPr>
      <w:rFonts w:ascii="Times New Roman" w:eastAsia="Times New Roman" w:hAnsi="Times New Roman" w:cs="Times New Roman"/>
      <w:sz w:val="20"/>
      <w:szCs w:val="20"/>
      <w:lang w:val="en-US"/>
    </w:rPr>
  </w:style>
  <w:style w:type="character" w:styleId="FootnoteReference">
    <w:name w:val="footnote reference"/>
    <w:rsid w:val="00753BFE"/>
    <w:rPr>
      <w:vertAlign w:val="superscript"/>
    </w:rPr>
  </w:style>
  <w:style w:type="paragraph" w:styleId="Header">
    <w:name w:val="header"/>
    <w:basedOn w:val="Normal"/>
    <w:link w:val="HeaderChar"/>
    <w:uiPriority w:val="99"/>
    <w:unhideWhenUsed/>
    <w:rsid w:val="00D83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41B"/>
  </w:style>
  <w:style w:type="paragraph" w:styleId="Footer">
    <w:name w:val="footer"/>
    <w:basedOn w:val="Normal"/>
    <w:link w:val="FooterChar"/>
    <w:uiPriority w:val="99"/>
    <w:unhideWhenUsed/>
    <w:rsid w:val="00D83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rman_Baillie-Stewar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oneyweek.com/investments/investment-strategy/601637/great-frauds-in-history-gerard-lee-bevans-dangerous-deb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oratio_Bottomley"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justiceinspectorates.gov.uk/hmiprisons/media/press-releases/2012/02/hmp-maidstone-many-strengths-but-significant-shortcomings/" TargetMode="External"/><Relationship Id="rId4" Type="http://schemas.openxmlformats.org/officeDocument/2006/relationships/footnotes" Target="footnotes.xml"/><Relationship Id="rId9" Type="http://schemas.openxmlformats.org/officeDocument/2006/relationships/hyperlink" Target="https://moneyweek.com/508563/great-frauds-in-history-clarence-ha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Bethell</dc:creator>
  <cp:keywords/>
  <dc:description/>
  <cp:lastModifiedBy>Carolyn Oulton</cp:lastModifiedBy>
  <cp:revision>2</cp:revision>
  <dcterms:created xsi:type="dcterms:W3CDTF">2022-09-03T21:03:00Z</dcterms:created>
  <dcterms:modified xsi:type="dcterms:W3CDTF">2022-09-03T21:03:00Z</dcterms:modified>
</cp:coreProperties>
</file>