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C7C" w:rsidRDefault="003D4F19" w:rsidP="00707C84">
      <w:pPr>
        <w:spacing w:line="360" w:lineRule="auto"/>
        <w:rPr>
          <w:b/>
          <w:sz w:val="24"/>
          <w:szCs w:val="24"/>
        </w:rPr>
      </w:pPr>
      <w:r w:rsidRPr="004B2975">
        <w:rPr>
          <w:b/>
          <w:sz w:val="24"/>
          <w:szCs w:val="24"/>
        </w:rPr>
        <w:t>William Makepeace Thackeray (1811-1863)</w:t>
      </w:r>
    </w:p>
    <w:p w:rsidR="00F50C66" w:rsidRDefault="00F50C66" w:rsidP="00707C8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By Professor Carolyn Oulton</w:t>
      </w:r>
    </w:p>
    <w:p w:rsidR="00855478" w:rsidRDefault="00855478" w:rsidP="00707C84">
      <w:pPr>
        <w:spacing w:line="360" w:lineRule="auto"/>
        <w:rPr>
          <w:sz w:val="24"/>
          <w:szCs w:val="24"/>
        </w:rPr>
      </w:pPr>
    </w:p>
    <w:p w:rsidR="00855478" w:rsidRDefault="00855478" w:rsidP="00D840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‘the pleasantest greenest place in the world, pleasant woods close at hand, fields on the other side very quiet and happy to walk in’.</w:t>
      </w:r>
      <w:r>
        <w:rPr>
          <w:rStyle w:val="FootnoteReference"/>
          <w:sz w:val="24"/>
          <w:szCs w:val="24"/>
        </w:rPr>
        <w:footnoteReference w:id="1"/>
      </w:r>
    </w:p>
    <w:p w:rsidR="00855478" w:rsidRDefault="00855478" w:rsidP="00707C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84067">
        <w:rPr>
          <w:sz w:val="24"/>
          <w:szCs w:val="24"/>
        </w:rPr>
        <w:tab/>
      </w:r>
      <w:r>
        <w:rPr>
          <w:sz w:val="24"/>
          <w:szCs w:val="24"/>
        </w:rPr>
        <w:t xml:space="preserve">Thackeray </w:t>
      </w:r>
      <w:r w:rsidR="00D84067">
        <w:rPr>
          <w:sz w:val="24"/>
          <w:szCs w:val="24"/>
        </w:rPr>
        <w:t>on Southborough, near Tunbridge Wells.</w:t>
      </w:r>
    </w:p>
    <w:p w:rsidR="00D84067" w:rsidRPr="004B2975" w:rsidRDefault="00D84067" w:rsidP="00707C84">
      <w:pPr>
        <w:spacing w:line="360" w:lineRule="auto"/>
        <w:rPr>
          <w:sz w:val="24"/>
          <w:szCs w:val="24"/>
        </w:rPr>
      </w:pPr>
    </w:p>
    <w:p w:rsidR="00670C2B" w:rsidRDefault="00670C2B" w:rsidP="00707C84">
      <w:pPr>
        <w:spacing w:line="360" w:lineRule="auto"/>
        <w:rPr>
          <w:sz w:val="24"/>
          <w:szCs w:val="24"/>
        </w:rPr>
      </w:pPr>
      <w:r w:rsidRPr="004B2975">
        <w:rPr>
          <w:sz w:val="24"/>
          <w:szCs w:val="24"/>
        </w:rPr>
        <w:t xml:space="preserve">Educated at Charterhouse and Cambridge, </w:t>
      </w:r>
      <w:r>
        <w:rPr>
          <w:sz w:val="24"/>
          <w:szCs w:val="24"/>
        </w:rPr>
        <w:t>W. M. Thackeray</w:t>
      </w:r>
      <w:r w:rsidRPr="004B2975">
        <w:rPr>
          <w:sz w:val="24"/>
          <w:szCs w:val="24"/>
        </w:rPr>
        <w:t xml:space="preserve"> is remembered by many as the author of </w:t>
      </w:r>
      <w:r w:rsidRPr="004B2975">
        <w:rPr>
          <w:i/>
          <w:sz w:val="24"/>
          <w:szCs w:val="24"/>
        </w:rPr>
        <w:t>Vanity Fair</w:t>
      </w:r>
      <w:r w:rsidRPr="004B2975">
        <w:rPr>
          <w:sz w:val="24"/>
          <w:szCs w:val="24"/>
        </w:rPr>
        <w:t xml:space="preserve"> (1847) and by some for suggesting that it takes three generations to make a gentleman.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 w:rsidRPr="004B2975">
        <w:rPr>
          <w:sz w:val="24"/>
          <w:szCs w:val="24"/>
        </w:rPr>
        <w:t xml:space="preserve"> was born in India in 1811, returning to England at the age of 5. </w:t>
      </w:r>
      <w:r>
        <w:rPr>
          <w:sz w:val="24"/>
          <w:szCs w:val="24"/>
        </w:rPr>
        <w:t>As a securely upper-middle class child, he enjoyed a childhood holiday in fashionable Tunbridge Wells in 1823,</w:t>
      </w:r>
      <w:r>
        <w:rPr>
          <w:rStyle w:val="FootnoteReference"/>
          <w:sz w:val="24"/>
          <w:szCs w:val="24"/>
        </w:rPr>
        <w:footnoteReference w:id="2"/>
      </w:r>
      <w:r>
        <w:rPr>
          <w:sz w:val="24"/>
          <w:szCs w:val="24"/>
        </w:rPr>
        <w:t xml:space="preserve"> just after his near contemporary </w:t>
      </w:r>
      <w:r w:rsidRPr="004B2975">
        <w:rPr>
          <w:sz w:val="24"/>
          <w:szCs w:val="24"/>
        </w:rPr>
        <w:t xml:space="preserve">[Dickens](/dickens), </w:t>
      </w:r>
      <w:r>
        <w:rPr>
          <w:sz w:val="24"/>
          <w:szCs w:val="24"/>
        </w:rPr>
        <w:t>had begun his downward trajectory following the loss of his [father’s](</w:t>
      </w:r>
      <w:r w:rsidRPr="00C25E78">
        <w:rPr>
          <w:sz w:val="24"/>
          <w:szCs w:val="24"/>
        </w:rPr>
        <w:t>/dickens/dickens-</w:t>
      </w:r>
      <w:proofErr w:type="spellStart"/>
      <w:r w:rsidRPr="00C25E78">
        <w:rPr>
          <w:sz w:val="24"/>
          <w:szCs w:val="24"/>
        </w:rPr>
        <w:t>chatham</w:t>
      </w:r>
      <w:proofErr w:type="spellEnd"/>
      <w:r>
        <w:rPr>
          <w:sz w:val="24"/>
          <w:szCs w:val="24"/>
        </w:rPr>
        <w:t xml:space="preserve">) job at [Chatham </w:t>
      </w:r>
      <w:proofErr w:type="gramStart"/>
      <w:r>
        <w:rPr>
          <w:sz w:val="24"/>
          <w:szCs w:val="24"/>
        </w:rPr>
        <w:t>Dockyard](</w:t>
      </w:r>
      <w:proofErr w:type="gramEnd"/>
      <w:r w:rsidRPr="00AF42DA">
        <w:rPr>
          <w:sz w:val="24"/>
          <w:szCs w:val="24"/>
        </w:rPr>
        <w:t>/19c/19c-chatham-dockyard</w:t>
      </w:r>
      <w:r>
        <w:rPr>
          <w:sz w:val="24"/>
          <w:szCs w:val="24"/>
        </w:rPr>
        <w:t>).</w:t>
      </w:r>
    </w:p>
    <w:p w:rsidR="00A54AD1" w:rsidRDefault="001C240A" w:rsidP="00707C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Thackeray</w:t>
      </w:r>
      <w:r w:rsidR="000B1103" w:rsidRPr="004B2975">
        <w:rPr>
          <w:sz w:val="24"/>
          <w:szCs w:val="24"/>
        </w:rPr>
        <w:t xml:space="preserve"> married Isabella </w:t>
      </w:r>
      <w:proofErr w:type="spellStart"/>
      <w:r w:rsidR="000B1103" w:rsidRPr="004B2975">
        <w:rPr>
          <w:sz w:val="24"/>
          <w:szCs w:val="24"/>
        </w:rPr>
        <w:t>Shawe</w:t>
      </w:r>
      <w:proofErr w:type="spellEnd"/>
      <w:r w:rsidR="000B1103" w:rsidRPr="004B2975">
        <w:rPr>
          <w:sz w:val="24"/>
          <w:szCs w:val="24"/>
        </w:rPr>
        <w:t xml:space="preserve"> in 1836.</w:t>
      </w:r>
      <w:r w:rsidR="00A54AD1" w:rsidRPr="004B2975">
        <w:rPr>
          <w:sz w:val="24"/>
          <w:szCs w:val="24"/>
        </w:rPr>
        <w:t xml:space="preserve"> Their first child Anne (Annie) was born in 1837 and later became a successful novelist</w:t>
      </w:r>
      <w:r w:rsidR="00B426EE">
        <w:rPr>
          <w:sz w:val="24"/>
          <w:szCs w:val="24"/>
        </w:rPr>
        <w:t xml:space="preserve"> in her own right</w:t>
      </w:r>
      <w:r w:rsidR="00A54AD1" w:rsidRPr="004B2975">
        <w:rPr>
          <w:sz w:val="24"/>
          <w:szCs w:val="24"/>
        </w:rPr>
        <w:t>. Jane</w:t>
      </w:r>
      <w:r w:rsidR="004B2975">
        <w:rPr>
          <w:sz w:val="24"/>
          <w:szCs w:val="24"/>
        </w:rPr>
        <w:t xml:space="preserve">, </w:t>
      </w:r>
      <w:r w:rsidR="00A54AD1" w:rsidRPr="004B2975">
        <w:rPr>
          <w:sz w:val="24"/>
          <w:szCs w:val="24"/>
        </w:rPr>
        <w:t>born in 1838</w:t>
      </w:r>
      <w:r w:rsidR="004B2975">
        <w:rPr>
          <w:sz w:val="24"/>
          <w:szCs w:val="24"/>
        </w:rPr>
        <w:t>,</w:t>
      </w:r>
      <w:r w:rsidR="00A54AD1" w:rsidRPr="004B2975">
        <w:rPr>
          <w:sz w:val="24"/>
          <w:szCs w:val="24"/>
        </w:rPr>
        <w:t xml:space="preserve"> survived only eight months</w:t>
      </w:r>
      <w:r w:rsidR="004B2975">
        <w:rPr>
          <w:sz w:val="24"/>
          <w:szCs w:val="24"/>
        </w:rPr>
        <w:t>, and</w:t>
      </w:r>
      <w:r w:rsidR="00A54AD1" w:rsidRPr="004B2975">
        <w:rPr>
          <w:sz w:val="24"/>
          <w:szCs w:val="24"/>
        </w:rPr>
        <w:t xml:space="preserve"> Thackeray’s </w:t>
      </w:r>
      <w:r w:rsidR="004B2975">
        <w:rPr>
          <w:sz w:val="24"/>
          <w:szCs w:val="24"/>
        </w:rPr>
        <w:t xml:space="preserve">strained </w:t>
      </w:r>
      <w:r w:rsidR="004B2975" w:rsidRPr="004B2975">
        <w:rPr>
          <w:sz w:val="24"/>
          <w:szCs w:val="24"/>
        </w:rPr>
        <w:t xml:space="preserve">description of </w:t>
      </w:r>
      <w:r w:rsidR="004B2975" w:rsidRPr="004B2975">
        <w:rPr>
          <w:sz w:val="24"/>
          <w:szCs w:val="24"/>
        </w:rPr>
        <w:t xml:space="preserve">‘gadding to </w:t>
      </w:r>
      <w:r w:rsidR="004B2975">
        <w:rPr>
          <w:sz w:val="24"/>
          <w:szCs w:val="24"/>
        </w:rPr>
        <w:t>[</w:t>
      </w:r>
      <w:r w:rsidR="004B2975" w:rsidRPr="004B2975">
        <w:rPr>
          <w:sz w:val="24"/>
          <w:szCs w:val="24"/>
        </w:rPr>
        <w:t>Gravesend</w:t>
      </w:r>
      <w:r w:rsidR="004B2975">
        <w:rPr>
          <w:sz w:val="24"/>
          <w:szCs w:val="24"/>
        </w:rPr>
        <w:t>](</w:t>
      </w:r>
      <w:r w:rsidR="004B2975" w:rsidRPr="004B2975">
        <w:rPr>
          <w:sz w:val="24"/>
          <w:szCs w:val="24"/>
        </w:rPr>
        <w:t>/19c/19c-gravesend</w:t>
      </w:r>
      <w:r w:rsidR="004B2975">
        <w:rPr>
          <w:sz w:val="24"/>
          <w:szCs w:val="24"/>
        </w:rPr>
        <w:t>)</w:t>
      </w:r>
      <w:r w:rsidR="004B2975" w:rsidRPr="004B2975">
        <w:rPr>
          <w:sz w:val="24"/>
          <w:szCs w:val="24"/>
        </w:rPr>
        <w:t>’</w:t>
      </w:r>
      <w:r w:rsidR="005E0B70">
        <w:rPr>
          <w:rStyle w:val="FootnoteReference"/>
          <w:sz w:val="24"/>
          <w:szCs w:val="24"/>
        </w:rPr>
        <w:footnoteReference w:id="3"/>
      </w:r>
      <w:r w:rsidR="004B2975">
        <w:rPr>
          <w:sz w:val="24"/>
          <w:szCs w:val="24"/>
        </w:rPr>
        <w:t xml:space="preserve"> with Isabella in the spring of 1839 was clearly intended to reassure his mother</w:t>
      </w:r>
      <w:r>
        <w:rPr>
          <w:sz w:val="24"/>
          <w:szCs w:val="24"/>
        </w:rPr>
        <w:t xml:space="preserve"> that they were coping</w:t>
      </w:r>
      <w:r w:rsidR="004B2975">
        <w:rPr>
          <w:sz w:val="24"/>
          <w:szCs w:val="24"/>
        </w:rPr>
        <w:t xml:space="preserve">. Harriet Marian, born in 1840 and known as Minnie, would become the </w:t>
      </w:r>
      <w:r>
        <w:rPr>
          <w:sz w:val="24"/>
          <w:szCs w:val="24"/>
        </w:rPr>
        <w:t>first</w:t>
      </w:r>
      <w:r w:rsidR="004B2975">
        <w:rPr>
          <w:sz w:val="24"/>
          <w:szCs w:val="24"/>
        </w:rPr>
        <w:t xml:space="preserve"> wife of Leslie Stephen</w:t>
      </w:r>
      <w:r>
        <w:rPr>
          <w:sz w:val="24"/>
          <w:szCs w:val="24"/>
        </w:rPr>
        <w:t xml:space="preserve"> (later the father</w:t>
      </w:r>
      <w:r w:rsidR="004B2975">
        <w:rPr>
          <w:sz w:val="24"/>
          <w:szCs w:val="24"/>
        </w:rPr>
        <w:t xml:space="preserve"> of Virginia Woolf</w:t>
      </w:r>
      <w:r>
        <w:rPr>
          <w:sz w:val="24"/>
          <w:szCs w:val="24"/>
        </w:rPr>
        <w:t>)</w:t>
      </w:r>
      <w:r w:rsidR="004B2975">
        <w:rPr>
          <w:sz w:val="24"/>
          <w:szCs w:val="24"/>
        </w:rPr>
        <w:t>.</w:t>
      </w:r>
    </w:p>
    <w:p w:rsidR="009C3922" w:rsidRDefault="00707C84" w:rsidP="00707C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the s</w:t>
      </w:r>
      <w:r w:rsidR="00FE6549">
        <w:rPr>
          <w:sz w:val="24"/>
          <w:szCs w:val="24"/>
        </w:rPr>
        <w:t xml:space="preserve">ummer </w:t>
      </w:r>
      <w:r>
        <w:rPr>
          <w:sz w:val="24"/>
          <w:szCs w:val="24"/>
        </w:rPr>
        <w:t xml:space="preserve">of 1840 </w:t>
      </w:r>
      <w:r w:rsidR="00B426EE">
        <w:rPr>
          <w:sz w:val="24"/>
          <w:szCs w:val="24"/>
        </w:rPr>
        <w:t>Thackeray and his young</w:t>
      </w:r>
      <w:r w:rsidR="00FE6549">
        <w:rPr>
          <w:sz w:val="24"/>
          <w:szCs w:val="24"/>
        </w:rPr>
        <w:t xml:space="preserve"> family spent three weeks at 1 Bridge Terrace in </w:t>
      </w:r>
      <w:r w:rsidR="00FE6549">
        <w:rPr>
          <w:sz w:val="24"/>
          <w:szCs w:val="24"/>
        </w:rPr>
        <w:t>[Margate](</w:t>
      </w:r>
      <w:r w:rsidR="00FE6549" w:rsidRPr="008F3F7F">
        <w:rPr>
          <w:sz w:val="24"/>
          <w:szCs w:val="24"/>
        </w:rPr>
        <w:t>/19c/19c-margate</w:t>
      </w:r>
      <w:r w:rsidR="00FE6549">
        <w:rPr>
          <w:sz w:val="24"/>
          <w:szCs w:val="24"/>
        </w:rPr>
        <w:t>)</w:t>
      </w:r>
      <w:r w:rsidR="00FE6549">
        <w:rPr>
          <w:sz w:val="24"/>
          <w:szCs w:val="24"/>
        </w:rPr>
        <w:t>,</w:t>
      </w:r>
      <w:r w:rsidR="00F50C66">
        <w:rPr>
          <w:rStyle w:val="FootnoteReference"/>
          <w:sz w:val="24"/>
          <w:szCs w:val="24"/>
        </w:rPr>
        <w:footnoteReference w:id="4"/>
      </w:r>
      <w:r w:rsidR="00FE6549">
        <w:rPr>
          <w:sz w:val="24"/>
          <w:szCs w:val="24"/>
        </w:rPr>
        <w:t xml:space="preserve"> where </w:t>
      </w:r>
      <w:r w:rsidR="00B426EE">
        <w:rPr>
          <w:sz w:val="24"/>
          <w:szCs w:val="24"/>
        </w:rPr>
        <w:t xml:space="preserve">he </w:t>
      </w:r>
      <w:r w:rsidR="00FE6549">
        <w:rPr>
          <w:sz w:val="24"/>
          <w:szCs w:val="24"/>
        </w:rPr>
        <w:t xml:space="preserve">wrote </w:t>
      </w:r>
      <w:r w:rsidR="005A37E9">
        <w:rPr>
          <w:sz w:val="24"/>
          <w:szCs w:val="24"/>
        </w:rPr>
        <w:t>_</w:t>
      </w:r>
      <w:r w:rsidR="00FE6549">
        <w:rPr>
          <w:i/>
          <w:sz w:val="24"/>
          <w:szCs w:val="24"/>
        </w:rPr>
        <w:t>A S</w:t>
      </w:r>
      <w:r w:rsidR="00FE6549" w:rsidRPr="00FE6549">
        <w:rPr>
          <w:i/>
          <w:sz w:val="24"/>
          <w:szCs w:val="24"/>
        </w:rPr>
        <w:t>habby Genteel Story</w:t>
      </w:r>
      <w:r w:rsidR="005A37E9">
        <w:rPr>
          <w:i/>
          <w:sz w:val="24"/>
          <w:szCs w:val="24"/>
        </w:rPr>
        <w:t>_</w:t>
      </w:r>
      <w:bookmarkStart w:id="0" w:name="_GoBack"/>
      <w:bookmarkEnd w:id="0"/>
      <w:r w:rsidR="00FE6549">
        <w:rPr>
          <w:sz w:val="24"/>
          <w:szCs w:val="24"/>
        </w:rPr>
        <w:t>, about a</w:t>
      </w:r>
      <w:r>
        <w:rPr>
          <w:sz w:val="24"/>
          <w:szCs w:val="24"/>
        </w:rPr>
        <w:t xml:space="preserve"> libertine who tricks a</w:t>
      </w:r>
      <w:r w:rsidR="00FE6549">
        <w:rPr>
          <w:sz w:val="24"/>
          <w:szCs w:val="24"/>
        </w:rPr>
        <w:t xml:space="preserve"> naïve young woman into a false marriage. </w:t>
      </w:r>
      <w:r w:rsidR="009C3922">
        <w:rPr>
          <w:sz w:val="24"/>
          <w:szCs w:val="24"/>
        </w:rPr>
        <w:t>The teasing narrative voice plays on readers’ desire for gossip:</w:t>
      </w:r>
    </w:p>
    <w:p w:rsidR="009C3922" w:rsidRDefault="009C3922" w:rsidP="009C392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Up to this point, I say, I have had a right to accompany the fat lady and Miss Runt; but whether, on arriving at Mr Fincham’s, they turned to the left, in the direction of the Royal Hotel, or to the right, by the beach, the bathing-machines, and queer rickety old row of houses, called Buenos Ayres, no power on earth shall induce me to say; suffice it, they went to Mrs Gann’s. why should we set all the world gadding to a particular street, to know where that lady lives?</w:t>
      </w:r>
      <w:r>
        <w:rPr>
          <w:rStyle w:val="FootnoteReference"/>
          <w:sz w:val="24"/>
          <w:szCs w:val="24"/>
        </w:rPr>
        <w:footnoteReference w:id="5"/>
      </w:r>
      <w:r>
        <w:rPr>
          <w:sz w:val="24"/>
          <w:szCs w:val="24"/>
        </w:rPr>
        <w:t xml:space="preserve"> </w:t>
      </w:r>
    </w:p>
    <w:p w:rsidR="008F3F7F" w:rsidRDefault="009C3922" w:rsidP="00707C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But w</w:t>
      </w:r>
      <w:r w:rsidR="00707C84">
        <w:rPr>
          <w:sz w:val="24"/>
          <w:szCs w:val="24"/>
        </w:rPr>
        <w:t>hile the town was a thriving resort</w:t>
      </w:r>
      <w:r>
        <w:rPr>
          <w:sz w:val="24"/>
          <w:szCs w:val="24"/>
        </w:rPr>
        <w:t xml:space="preserve"> in the 1840s</w:t>
      </w:r>
      <w:r w:rsidR="00707C84">
        <w:rPr>
          <w:sz w:val="24"/>
          <w:szCs w:val="24"/>
        </w:rPr>
        <w:t xml:space="preserve">, </w:t>
      </w:r>
      <w:proofErr w:type="spellStart"/>
      <w:r w:rsidR="004E0008" w:rsidRPr="004E0008">
        <w:rPr>
          <w:sz w:val="24"/>
          <w:szCs w:val="24"/>
        </w:rPr>
        <w:t>Ushashi</w:t>
      </w:r>
      <w:proofErr w:type="spellEnd"/>
      <w:r w:rsidR="004E0008" w:rsidRPr="004E0008">
        <w:rPr>
          <w:sz w:val="24"/>
          <w:szCs w:val="24"/>
        </w:rPr>
        <w:t xml:space="preserve"> </w:t>
      </w:r>
      <w:r w:rsidR="004E0008" w:rsidRPr="004E0008">
        <w:rPr>
          <w:sz w:val="24"/>
          <w:szCs w:val="24"/>
        </w:rPr>
        <w:t>Dasgupta</w:t>
      </w:r>
      <w:r w:rsidR="00707C84">
        <w:rPr>
          <w:sz w:val="24"/>
          <w:szCs w:val="24"/>
        </w:rPr>
        <w:t xml:space="preserve"> comments that </w:t>
      </w:r>
      <w:r w:rsidR="00FE6549" w:rsidRPr="00BD5348">
        <w:rPr>
          <w:rFonts w:cstheme="minorHAnsi"/>
          <w:sz w:val="24"/>
          <w:szCs w:val="24"/>
        </w:rPr>
        <w:t>‘Thackeray’s Margate feels wrong from the very beginning</w:t>
      </w:r>
      <w:r w:rsidR="00D84067">
        <w:rPr>
          <w:rFonts w:cstheme="minorHAnsi"/>
          <w:sz w:val="24"/>
          <w:szCs w:val="24"/>
        </w:rPr>
        <w:t>’,</w:t>
      </w:r>
      <w:r w:rsidR="00707C84">
        <w:rPr>
          <w:rStyle w:val="FootnoteReference"/>
          <w:rFonts w:cstheme="minorHAnsi"/>
          <w:sz w:val="24"/>
          <w:szCs w:val="24"/>
        </w:rPr>
        <w:footnoteReference w:id="6"/>
      </w:r>
      <w:r w:rsidR="00D84067">
        <w:rPr>
          <w:rFonts w:cstheme="minorHAnsi"/>
          <w:sz w:val="24"/>
          <w:szCs w:val="24"/>
        </w:rPr>
        <w:t xml:space="preserve"> and a</w:t>
      </w:r>
      <w:r w:rsidR="00707C84">
        <w:rPr>
          <w:rFonts w:cstheme="minorHAnsi"/>
          <w:sz w:val="24"/>
          <w:szCs w:val="24"/>
        </w:rPr>
        <w:t xml:space="preserve">s readers have noted, the story ends somewhat abruptly. The reason is that </w:t>
      </w:r>
      <w:r w:rsidR="00707C84">
        <w:rPr>
          <w:sz w:val="24"/>
          <w:szCs w:val="24"/>
        </w:rPr>
        <w:t>Isabella started to show</w:t>
      </w:r>
      <w:r w:rsidR="00707C84">
        <w:rPr>
          <w:sz w:val="24"/>
          <w:szCs w:val="24"/>
        </w:rPr>
        <w:t xml:space="preserve"> alarming</w:t>
      </w:r>
      <w:r w:rsidR="00707C84">
        <w:rPr>
          <w:sz w:val="24"/>
          <w:szCs w:val="24"/>
        </w:rPr>
        <w:t xml:space="preserve"> signs of madness.</w:t>
      </w:r>
      <w:r w:rsidR="00707C84">
        <w:rPr>
          <w:sz w:val="24"/>
          <w:szCs w:val="24"/>
        </w:rPr>
        <w:t xml:space="preserve"> </w:t>
      </w:r>
      <w:r w:rsidR="008F3F7F">
        <w:rPr>
          <w:sz w:val="24"/>
          <w:szCs w:val="24"/>
        </w:rPr>
        <w:t xml:space="preserve">Many years later Annie told her father that on </w:t>
      </w:r>
      <w:r w:rsidR="00FE6549">
        <w:rPr>
          <w:sz w:val="24"/>
          <w:szCs w:val="24"/>
        </w:rPr>
        <w:t>her</w:t>
      </w:r>
      <w:r w:rsidR="008F3F7F">
        <w:rPr>
          <w:sz w:val="24"/>
          <w:szCs w:val="24"/>
        </w:rPr>
        <w:t xml:space="preserve"> mother had attempted to drown her in the sea in a moment of mental aberration.</w:t>
      </w:r>
      <w:r w:rsidR="00F25188">
        <w:rPr>
          <w:rStyle w:val="FootnoteReference"/>
          <w:sz w:val="24"/>
          <w:szCs w:val="24"/>
        </w:rPr>
        <w:footnoteReference w:id="7"/>
      </w:r>
      <w:r w:rsidR="008F3F7F">
        <w:rPr>
          <w:sz w:val="24"/>
          <w:szCs w:val="24"/>
        </w:rPr>
        <w:t xml:space="preserve"> </w:t>
      </w:r>
    </w:p>
    <w:p w:rsidR="00594C45" w:rsidRDefault="00855478" w:rsidP="00707C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It soon became too difficult to look after Isabella at home, and a letter of 1842 sees Thackeray </w:t>
      </w:r>
      <w:r w:rsidR="00F25188">
        <w:rPr>
          <w:sz w:val="24"/>
          <w:szCs w:val="24"/>
        </w:rPr>
        <w:t xml:space="preserve">living apart from his wife and </w:t>
      </w:r>
      <w:r>
        <w:rPr>
          <w:sz w:val="24"/>
          <w:szCs w:val="24"/>
        </w:rPr>
        <w:t xml:space="preserve">seeking solace in memories of his own childhood. On a working holiday in Southborough, near Tunbridge Wells, he enthused to his mother about </w:t>
      </w:r>
      <w:r w:rsidR="008F3F7F">
        <w:rPr>
          <w:sz w:val="24"/>
          <w:szCs w:val="24"/>
        </w:rPr>
        <w:t xml:space="preserve">‘the pleasantest greenest place in the world, pleasant woods close at hand, fields on the other side very quiet and happy to walk in’. </w:t>
      </w:r>
      <w:proofErr w:type="gramStart"/>
      <w:r w:rsidR="00D84067">
        <w:rPr>
          <w:sz w:val="24"/>
          <w:szCs w:val="24"/>
        </w:rPr>
        <w:t>Sadly</w:t>
      </w:r>
      <w:proofErr w:type="gramEnd"/>
      <w:r w:rsidR="00D84067">
        <w:rPr>
          <w:sz w:val="24"/>
          <w:szCs w:val="24"/>
        </w:rPr>
        <w:t xml:space="preserve"> the c</w:t>
      </w:r>
      <w:r w:rsidR="008F3F7F">
        <w:rPr>
          <w:sz w:val="24"/>
          <w:szCs w:val="24"/>
        </w:rPr>
        <w:t xml:space="preserve">ottage </w:t>
      </w:r>
      <w:r w:rsidR="00D84067">
        <w:rPr>
          <w:sz w:val="24"/>
          <w:szCs w:val="24"/>
        </w:rPr>
        <w:t>where they had stayed in</w:t>
      </w:r>
      <w:r w:rsidR="008F3F7F">
        <w:rPr>
          <w:sz w:val="24"/>
          <w:szCs w:val="24"/>
        </w:rPr>
        <w:t xml:space="preserve"> Tunbridge Wells</w:t>
      </w:r>
      <w:r w:rsidR="00594C45">
        <w:rPr>
          <w:sz w:val="24"/>
          <w:szCs w:val="24"/>
        </w:rPr>
        <w:t xml:space="preserve"> twenty years before</w:t>
      </w:r>
      <w:r w:rsidR="008F3F7F">
        <w:rPr>
          <w:sz w:val="24"/>
          <w:szCs w:val="24"/>
        </w:rPr>
        <w:t xml:space="preserve"> ha</w:t>
      </w:r>
      <w:r w:rsidR="00D84067">
        <w:rPr>
          <w:sz w:val="24"/>
          <w:szCs w:val="24"/>
        </w:rPr>
        <w:t>d</w:t>
      </w:r>
      <w:r w:rsidR="008F3F7F">
        <w:rPr>
          <w:sz w:val="24"/>
          <w:szCs w:val="24"/>
        </w:rPr>
        <w:t xml:space="preserve"> ‘gone to heaven’</w:t>
      </w:r>
      <w:r w:rsidR="00D84067">
        <w:rPr>
          <w:sz w:val="24"/>
          <w:szCs w:val="24"/>
        </w:rPr>
        <w:t>.</w:t>
      </w:r>
      <w:r w:rsidR="00D84067">
        <w:rPr>
          <w:rStyle w:val="FootnoteReference"/>
          <w:sz w:val="24"/>
          <w:szCs w:val="24"/>
        </w:rPr>
        <w:footnoteReference w:id="8"/>
      </w:r>
      <w:r w:rsidR="00594C45">
        <w:rPr>
          <w:sz w:val="24"/>
          <w:szCs w:val="24"/>
        </w:rPr>
        <w:t xml:space="preserve"> </w:t>
      </w:r>
    </w:p>
    <w:p w:rsidR="00F50C66" w:rsidRDefault="00594C45" w:rsidP="003561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Thackeray satirises 18</w:t>
      </w:r>
      <w:r w:rsidRPr="00594C4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 Tunbridge Wells in </w:t>
      </w:r>
      <w:r w:rsidR="00F25188">
        <w:rPr>
          <w:sz w:val="24"/>
          <w:szCs w:val="24"/>
        </w:rPr>
        <w:t>_</w:t>
      </w:r>
      <w:r w:rsidRPr="00594C45">
        <w:rPr>
          <w:i/>
          <w:sz w:val="24"/>
          <w:szCs w:val="24"/>
        </w:rPr>
        <w:t>The Virginians</w:t>
      </w:r>
      <w:r w:rsidR="00F25188">
        <w:rPr>
          <w:i/>
          <w:sz w:val="24"/>
          <w:szCs w:val="24"/>
        </w:rPr>
        <w:t>_</w:t>
      </w:r>
      <w:r w:rsidR="008F68CA">
        <w:rPr>
          <w:sz w:val="24"/>
          <w:szCs w:val="24"/>
        </w:rPr>
        <w:t>, set around 30 years before [Jane Austen](</w:t>
      </w:r>
      <w:r w:rsidR="008F68CA" w:rsidRPr="008F68CA">
        <w:rPr>
          <w:sz w:val="24"/>
          <w:szCs w:val="24"/>
        </w:rPr>
        <w:t>/</w:t>
      </w:r>
      <w:proofErr w:type="spellStart"/>
      <w:r w:rsidR="008F68CA" w:rsidRPr="008F68CA">
        <w:rPr>
          <w:sz w:val="24"/>
          <w:szCs w:val="24"/>
        </w:rPr>
        <w:t>austen</w:t>
      </w:r>
      <w:proofErr w:type="spellEnd"/>
      <w:r w:rsidR="008F68CA" w:rsidRPr="008F68CA">
        <w:rPr>
          <w:sz w:val="24"/>
          <w:szCs w:val="24"/>
        </w:rPr>
        <w:t>/</w:t>
      </w:r>
      <w:proofErr w:type="spellStart"/>
      <w:r w:rsidR="008F68CA" w:rsidRPr="008F68CA">
        <w:rPr>
          <w:sz w:val="24"/>
          <w:szCs w:val="24"/>
        </w:rPr>
        <w:t>austen</w:t>
      </w:r>
      <w:proofErr w:type="spellEnd"/>
      <w:r w:rsidR="008F68CA" w:rsidRPr="008F68CA">
        <w:rPr>
          <w:sz w:val="24"/>
          <w:szCs w:val="24"/>
        </w:rPr>
        <w:t>-</w:t>
      </w:r>
      <w:proofErr w:type="spellStart"/>
      <w:r w:rsidR="008F68CA" w:rsidRPr="008F68CA">
        <w:rPr>
          <w:sz w:val="24"/>
          <w:szCs w:val="24"/>
        </w:rPr>
        <w:t>tunbridge</w:t>
      </w:r>
      <w:proofErr w:type="spellEnd"/>
      <w:r w:rsidR="008F68CA" w:rsidRPr="008F68CA">
        <w:rPr>
          <w:sz w:val="24"/>
          <w:szCs w:val="24"/>
        </w:rPr>
        <w:t>-wells</w:t>
      </w:r>
      <w:r w:rsidR="008F68CA">
        <w:rPr>
          <w:sz w:val="24"/>
          <w:szCs w:val="24"/>
        </w:rPr>
        <w:t>) described</w:t>
      </w:r>
      <w:r w:rsidR="009C7584">
        <w:rPr>
          <w:sz w:val="24"/>
          <w:szCs w:val="24"/>
        </w:rPr>
        <w:t xml:space="preserve"> its ‘long ascent, half rock, half sand’</w:t>
      </w:r>
      <w:r>
        <w:rPr>
          <w:sz w:val="24"/>
          <w:szCs w:val="24"/>
        </w:rPr>
        <w:t>;</w:t>
      </w:r>
      <w:r w:rsidR="009C7584">
        <w:rPr>
          <w:rStyle w:val="FootnoteReference"/>
          <w:sz w:val="24"/>
          <w:szCs w:val="24"/>
        </w:rPr>
        <w:footnoteReference w:id="9"/>
      </w:r>
      <w:r>
        <w:rPr>
          <w:sz w:val="24"/>
          <w:szCs w:val="24"/>
        </w:rPr>
        <w:t xml:space="preserve"> as a first response to the news of a family m</w:t>
      </w:r>
      <w:r>
        <w:rPr>
          <w:rFonts w:cstheme="minorHAnsi"/>
          <w:sz w:val="24"/>
          <w:szCs w:val="24"/>
        </w:rPr>
        <w:t>é</w:t>
      </w:r>
      <w:r>
        <w:rPr>
          <w:sz w:val="24"/>
          <w:szCs w:val="24"/>
        </w:rPr>
        <w:t>salliance, one character ‘</w:t>
      </w:r>
      <w:r>
        <w:rPr>
          <w:sz w:val="24"/>
          <w:szCs w:val="24"/>
        </w:rPr>
        <w:t>had fits and ran off to the solitude of her dear rocks at Tunbridge Wells, where she did not see above forty people of a night at cards.’</w:t>
      </w:r>
      <w:r>
        <w:rPr>
          <w:rStyle w:val="FootnoteReference"/>
          <w:sz w:val="24"/>
          <w:szCs w:val="24"/>
        </w:rPr>
        <w:footnoteReference w:id="10"/>
      </w:r>
      <w:r>
        <w:rPr>
          <w:sz w:val="24"/>
          <w:szCs w:val="24"/>
        </w:rPr>
        <w:t xml:space="preserve"> But his regret is palpable in ‘Tunbridge Toys’, an article written towards the end of his life. </w:t>
      </w:r>
      <w:r>
        <w:rPr>
          <w:sz w:val="24"/>
          <w:szCs w:val="24"/>
        </w:rPr>
        <w:t>‘As I look up from my desk, I see Tunbridge Wells Common and the rocks, the strange familiar place which I remember forty years ago</w:t>
      </w:r>
      <w:r w:rsidR="00F25188">
        <w:rPr>
          <w:sz w:val="24"/>
          <w:szCs w:val="24"/>
        </w:rPr>
        <w:t>.</w:t>
      </w:r>
      <w:r>
        <w:rPr>
          <w:sz w:val="24"/>
          <w:szCs w:val="24"/>
        </w:rPr>
        <w:t>’</w:t>
      </w:r>
      <w:r>
        <w:rPr>
          <w:rStyle w:val="FootnoteReference"/>
          <w:sz w:val="24"/>
          <w:szCs w:val="24"/>
        </w:rPr>
        <w:footnoteReference w:id="11"/>
      </w:r>
      <w:r w:rsidR="00F25188">
        <w:rPr>
          <w:sz w:val="24"/>
          <w:szCs w:val="24"/>
        </w:rPr>
        <w:t xml:space="preserve"> </w:t>
      </w:r>
      <w:r w:rsidR="00F25188">
        <w:rPr>
          <w:sz w:val="24"/>
          <w:szCs w:val="24"/>
        </w:rPr>
        <w:lastRenderedPageBreak/>
        <w:t xml:space="preserve">Readers surely </w:t>
      </w:r>
      <w:r w:rsidR="0055696A">
        <w:rPr>
          <w:sz w:val="24"/>
          <w:szCs w:val="24"/>
        </w:rPr>
        <w:t xml:space="preserve">empathise </w:t>
      </w:r>
      <w:proofErr w:type="gramStart"/>
      <w:r w:rsidR="0055696A">
        <w:rPr>
          <w:sz w:val="24"/>
          <w:szCs w:val="24"/>
        </w:rPr>
        <w:t xml:space="preserve">with </w:t>
      </w:r>
      <w:r w:rsidR="00F25188">
        <w:rPr>
          <w:sz w:val="24"/>
          <w:szCs w:val="24"/>
        </w:rPr>
        <w:t xml:space="preserve"> the</w:t>
      </w:r>
      <w:proofErr w:type="gramEnd"/>
      <w:r w:rsidR="00F25188">
        <w:rPr>
          <w:sz w:val="24"/>
          <w:szCs w:val="24"/>
        </w:rPr>
        <w:t xml:space="preserve"> middle-aged author when</w:t>
      </w:r>
      <w:r w:rsidR="00F25188">
        <w:rPr>
          <w:sz w:val="24"/>
          <w:szCs w:val="24"/>
        </w:rPr>
        <w:t>, l</w:t>
      </w:r>
      <w:r w:rsidR="00F25188">
        <w:rPr>
          <w:sz w:val="24"/>
          <w:szCs w:val="24"/>
        </w:rPr>
        <w:t xml:space="preserve">ike </w:t>
      </w:r>
      <w:r w:rsidR="00F25188" w:rsidRPr="004B2975">
        <w:rPr>
          <w:sz w:val="24"/>
          <w:szCs w:val="24"/>
        </w:rPr>
        <w:t>[Dickens](/dickens)</w:t>
      </w:r>
      <w:r w:rsidR="00F25188">
        <w:rPr>
          <w:sz w:val="24"/>
          <w:szCs w:val="24"/>
        </w:rPr>
        <w:t xml:space="preserve"> revisiting the [Rochester](</w:t>
      </w:r>
      <w:r w:rsidR="00F25188" w:rsidRPr="0035612A">
        <w:rPr>
          <w:sz w:val="24"/>
          <w:szCs w:val="24"/>
        </w:rPr>
        <w:t>/dickens/dickens-</w:t>
      </w:r>
      <w:proofErr w:type="spellStart"/>
      <w:r w:rsidR="00F25188" w:rsidRPr="0035612A">
        <w:rPr>
          <w:sz w:val="24"/>
          <w:szCs w:val="24"/>
        </w:rPr>
        <w:t>medway</w:t>
      </w:r>
      <w:proofErr w:type="spellEnd"/>
      <w:r w:rsidR="00F25188">
        <w:rPr>
          <w:sz w:val="24"/>
          <w:szCs w:val="24"/>
        </w:rPr>
        <w:t xml:space="preserve">) of his own childhood, </w:t>
      </w:r>
      <w:r w:rsidR="00680EAD">
        <w:rPr>
          <w:sz w:val="24"/>
          <w:szCs w:val="24"/>
        </w:rPr>
        <w:t xml:space="preserve">he finds that </w:t>
      </w:r>
      <w:r w:rsidR="00F25188">
        <w:rPr>
          <w:sz w:val="24"/>
          <w:szCs w:val="24"/>
        </w:rPr>
        <w:t xml:space="preserve">everything has changed and </w:t>
      </w:r>
      <w:r w:rsidR="00F25188">
        <w:rPr>
          <w:sz w:val="24"/>
          <w:szCs w:val="24"/>
        </w:rPr>
        <w:t>the place no longer knows him</w:t>
      </w:r>
      <w:r w:rsidR="00F25188">
        <w:rPr>
          <w:sz w:val="24"/>
          <w:szCs w:val="24"/>
        </w:rPr>
        <w:t>.</w:t>
      </w:r>
    </w:p>
    <w:p w:rsidR="00F25188" w:rsidRDefault="00F25188" w:rsidP="0035612A">
      <w:pPr>
        <w:spacing w:line="360" w:lineRule="auto"/>
        <w:rPr>
          <w:sz w:val="24"/>
          <w:szCs w:val="24"/>
        </w:rPr>
      </w:pPr>
    </w:p>
    <w:p w:rsidR="00594C45" w:rsidRDefault="00F50C66" w:rsidP="00707C8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Bibliography </w:t>
      </w:r>
    </w:p>
    <w:p w:rsidR="009C7584" w:rsidRPr="009C7584" w:rsidRDefault="009C7584" w:rsidP="009C7584">
      <w:pPr>
        <w:rPr>
          <w:rFonts w:eastAsia="Times New Roman" w:cstheme="minorHAnsi"/>
          <w:bCs/>
          <w:color w:val="0F1111"/>
          <w:kern w:val="36"/>
          <w:sz w:val="24"/>
          <w:szCs w:val="24"/>
          <w:lang w:eastAsia="en-GB"/>
        </w:rPr>
      </w:pPr>
      <w:r>
        <w:rPr>
          <w:sz w:val="24"/>
          <w:szCs w:val="24"/>
        </w:rPr>
        <w:t>Austen, Jane. _</w:t>
      </w:r>
      <w:proofErr w:type="spellStart"/>
      <w:r>
        <w:rPr>
          <w:sz w:val="24"/>
          <w:szCs w:val="24"/>
        </w:rPr>
        <w:t>Sanditon</w:t>
      </w:r>
      <w:proofErr w:type="spellEnd"/>
      <w:r>
        <w:rPr>
          <w:sz w:val="24"/>
          <w:szCs w:val="24"/>
        </w:rPr>
        <w:t>_. _</w:t>
      </w:r>
      <w:r w:rsidRPr="009C7584">
        <w:rPr>
          <w:rFonts w:eastAsia="Times New Roman" w:cstheme="minorHAnsi"/>
          <w:bCs/>
          <w:i/>
          <w:color w:val="0F1111"/>
          <w:kern w:val="36"/>
          <w:sz w:val="24"/>
          <w:szCs w:val="24"/>
          <w:lang w:eastAsia="en-GB"/>
        </w:rPr>
        <w:t xml:space="preserve">Northanger Abbey Lady Susan the Watsons </w:t>
      </w:r>
      <w:proofErr w:type="spellStart"/>
      <w:proofErr w:type="gramStart"/>
      <w:r w:rsidRPr="009C7584">
        <w:rPr>
          <w:rFonts w:eastAsia="Times New Roman" w:cstheme="minorHAnsi"/>
          <w:bCs/>
          <w:i/>
          <w:color w:val="0F1111"/>
          <w:kern w:val="36"/>
          <w:sz w:val="24"/>
          <w:szCs w:val="24"/>
          <w:lang w:eastAsia="en-GB"/>
        </w:rPr>
        <w:t>Sanditon</w:t>
      </w:r>
      <w:proofErr w:type="spellEnd"/>
      <w:r>
        <w:rPr>
          <w:rFonts w:eastAsia="Times New Roman" w:cstheme="minorHAnsi"/>
          <w:bCs/>
          <w:i/>
          <w:color w:val="0F1111"/>
          <w:kern w:val="36"/>
          <w:sz w:val="24"/>
          <w:szCs w:val="24"/>
          <w:lang w:eastAsia="en-GB"/>
        </w:rPr>
        <w:t>._</w:t>
      </w:r>
      <w:proofErr w:type="gramEnd"/>
      <w:r>
        <w:rPr>
          <w:rFonts w:eastAsia="Times New Roman" w:cstheme="minorHAnsi"/>
          <w:bCs/>
          <w:color w:val="0F1111"/>
          <w:kern w:val="36"/>
          <w:sz w:val="24"/>
          <w:szCs w:val="24"/>
          <w:lang w:eastAsia="en-GB"/>
        </w:rPr>
        <w:t xml:space="preserve"> Oxford: OUP, 2008.</w:t>
      </w:r>
    </w:p>
    <w:p w:rsidR="00F50C66" w:rsidRPr="005F2611" w:rsidRDefault="00F50C66" w:rsidP="00F50C66">
      <w:pPr>
        <w:rPr>
          <w:sz w:val="24"/>
          <w:szCs w:val="24"/>
        </w:rPr>
      </w:pPr>
      <w:r w:rsidRPr="005F2611">
        <w:rPr>
          <w:sz w:val="24"/>
          <w:szCs w:val="24"/>
        </w:rPr>
        <w:t xml:space="preserve">Dasgupta, </w:t>
      </w:r>
      <w:proofErr w:type="spellStart"/>
      <w:r w:rsidRPr="005F2611">
        <w:rPr>
          <w:sz w:val="24"/>
          <w:szCs w:val="24"/>
        </w:rPr>
        <w:t>Ushashi</w:t>
      </w:r>
      <w:proofErr w:type="spellEnd"/>
      <w:r w:rsidRPr="005F2611">
        <w:rPr>
          <w:sz w:val="24"/>
          <w:szCs w:val="24"/>
        </w:rPr>
        <w:t xml:space="preserve">. </w:t>
      </w:r>
      <w:r>
        <w:rPr>
          <w:sz w:val="24"/>
          <w:szCs w:val="24"/>
        </w:rPr>
        <w:t>_</w:t>
      </w:r>
      <w:r w:rsidRPr="005F2611">
        <w:rPr>
          <w:i/>
          <w:iCs/>
          <w:sz w:val="24"/>
          <w:szCs w:val="24"/>
        </w:rPr>
        <w:t xml:space="preserve">Charles Dickens and the Properties of Fiction: </w:t>
      </w:r>
      <w:proofErr w:type="gramStart"/>
      <w:r w:rsidRPr="005F2611">
        <w:rPr>
          <w:i/>
          <w:iCs/>
          <w:sz w:val="24"/>
          <w:szCs w:val="24"/>
        </w:rPr>
        <w:t>the</w:t>
      </w:r>
      <w:proofErr w:type="gramEnd"/>
      <w:r w:rsidRPr="005F2611">
        <w:rPr>
          <w:i/>
          <w:iCs/>
          <w:sz w:val="24"/>
          <w:szCs w:val="24"/>
        </w:rPr>
        <w:t xml:space="preserve"> Lodger World</w:t>
      </w:r>
      <w:r>
        <w:rPr>
          <w:i/>
          <w:iCs/>
          <w:sz w:val="24"/>
          <w:szCs w:val="24"/>
        </w:rPr>
        <w:t>_</w:t>
      </w:r>
      <w:r w:rsidRPr="005F2611">
        <w:rPr>
          <w:sz w:val="24"/>
          <w:szCs w:val="24"/>
        </w:rPr>
        <w:t xml:space="preserve">. Oxford: </w:t>
      </w:r>
      <w:r w:rsidR="009C7584">
        <w:rPr>
          <w:sz w:val="24"/>
          <w:szCs w:val="24"/>
        </w:rPr>
        <w:t>OUP</w:t>
      </w:r>
      <w:r w:rsidRPr="005F2611">
        <w:rPr>
          <w:sz w:val="24"/>
          <w:szCs w:val="24"/>
        </w:rPr>
        <w:t>, 2020.</w:t>
      </w:r>
    </w:p>
    <w:p w:rsidR="00F50C66" w:rsidRDefault="00F50C66" w:rsidP="00F50C66">
      <w:pPr>
        <w:rPr>
          <w:sz w:val="24"/>
          <w:szCs w:val="24"/>
        </w:rPr>
      </w:pPr>
      <w:r>
        <w:rPr>
          <w:sz w:val="24"/>
          <w:szCs w:val="24"/>
        </w:rPr>
        <w:t>Taylor, D. J. _Thackeray_. London: Vintage, 2011.</w:t>
      </w:r>
    </w:p>
    <w:p w:rsidR="00F50C66" w:rsidRDefault="00F50C66" w:rsidP="00F50C66">
      <w:pPr>
        <w:rPr>
          <w:sz w:val="24"/>
          <w:szCs w:val="24"/>
        </w:rPr>
      </w:pPr>
      <w:r>
        <w:rPr>
          <w:sz w:val="24"/>
          <w:szCs w:val="24"/>
        </w:rPr>
        <w:t>Thackeray, W. M. _Selected Letters of William Makepeace Thackeray_. Ed. Edgar F. Harden. Basingstoke: Palgrave, 1996.</w:t>
      </w:r>
    </w:p>
    <w:p w:rsidR="00F50C66" w:rsidRDefault="00F50C66" w:rsidP="00F50C66">
      <w:pPr>
        <w:rPr>
          <w:sz w:val="24"/>
          <w:szCs w:val="24"/>
        </w:rPr>
      </w:pPr>
      <w:r>
        <w:rPr>
          <w:sz w:val="24"/>
          <w:szCs w:val="24"/>
        </w:rPr>
        <w:t xml:space="preserve">--. </w:t>
      </w:r>
      <w:proofErr w:type="gramStart"/>
      <w:r w:rsidRPr="00F50C66">
        <w:rPr>
          <w:sz w:val="24"/>
          <w:szCs w:val="24"/>
        </w:rPr>
        <w:t>‘</w:t>
      </w:r>
      <w:proofErr w:type="gramEnd"/>
      <w:r w:rsidRPr="00F50C66">
        <w:rPr>
          <w:sz w:val="24"/>
          <w:szCs w:val="24"/>
        </w:rPr>
        <w:t xml:space="preserve">Tunbridge Toys.’ 312-17. </w:t>
      </w:r>
      <w:r>
        <w:rPr>
          <w:sz w:val="24"/>
          <w:szCs w:val="24"/>
        </w:rPr>
        <w:t xml:space="preserve">London: </w:t>
      </w:r>
      <w:r w:rsidRPr="00F50C66">
        <w:rPr>
          <w:sz w:val="24"/>
          <w:szCs w:val="24"/>
        </w:rPr>
        <w:t xml:space="preserve">Everyman. </w:t>
      </w:r>
      <w:r>
        <w:rPr>
          <w:sz w:val="24"/>
          <w:szCs w:val="24"/>
        </w:rPr>
        <w:t>_</w:t>
      </w:r>
      <w:r w:rsidRPr="00F50C66">
        <w:rPr>
          <w:i/>
          <w:sz w:val="24"/>
          <w:szCs w:val="24"/>
        </w:rPr>
        <w:t>A Shabby Genteel Story and Other Writings</w:t>
      </w:r>
      <w:r>
        <w:rPr>
          <w:i/>
          <w:sz w:val="24"/>
          <w:szCs w:val="24"/>
        </w:rPr>
        <w:t>_</w:t>
      </w:r>
      <w:r w:rsidRPr="00F50C66">
        <w:rPr>
          <w:sz w:val="24"/>
          <w:szCs w:val="24"/>
        </w:rPr>
        <w:t>. 1993.</w:t>
      </w:r>
    </w:p>
    <w:p w:rsidR="00F50C66" w:rsidRPr="00F50C66" w:rsidRDefault="00F50C66" w:rsidP="00F50C66">
      <w:pPr>
        <w:rPr>
          <w:sz w:val="24"/>
          <w:szCs w:val="24"/>
        </w:rPr>
      </w:pPr>
      <w:r>
        <w:rPr>
          <w:sz w:val="24"/>
          <w:szCs w:val="24"/>
        </w:rPr>
        <w:t>--. [_The Virginians_](</w:t>
      </w:r>
      <w:hyperlink r:id="rId7" w:history="1">
        <w:r w:rsidRPr="00AD34A8">
          <w:rPr>
            <w:rStyle w:val="Hyperlink"/>
            <w:sz w:val="24"/>
            <w:szCs w:val="24"/>
          </w:rPr>
          <w:t>https://archive.org/details/in.ernet.dli.2015.207951/mode/2up?q=%22had+fits+and+ran+off+to+the+solitude+of+her%22</w:t>
        </w:r>
      </w:hyperlink>
      <w:r>
        <w:rPr>
          <w:sz w:val="24"/>
          <w:szCs w:val="24"/>
        </w:rPr>
        <w:t>). Oxford: Oxford University Press [1918].</w:t>
      </w:r>
    </w:p>
    <w:p w:rsidR="00F50C66" w:rsidRPr="00F50C66" w:rsidRDefault="00F50C66" w:rsidP="00707C84">
      <w:pPr>
        <w:spacing w:line="360" w:lineRule="auto"/>
        <w:rPr>
          <w:b/>
          <w:sz w:val="24"/>
          <w:szCs w:val="24"/>
        </w:rPr>
      </w:pPr>
    </w:p>
    <w:sectPr w:rsidR="00F50C66" w:rsidRPr="00F5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3CE" w:rsidRDefault="006613CE" w:rsidP="005E0B70">
      <w:pPr>
        <w:spacing w:after="0" w:line="240" w:lineRule="auto"/>
      </w:pPr>
      <w:r>
        <w:separator/>
      </w:r>
    </w:p>
  </w:endnote>
  <w:endnote w:type="continuationSeparator" w:id="0">
    <w:p w:rsidR="006613CE" w:rsidRDefault="006613CE" w:rsidP="005E0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3CE" w:rsidRDefault="006613CE" w:rsidP="005E0B70">
      <w:pPr>
        <w:spacing w:after="0" w:line="240" w:lineRule="auto"/>
      </w:pPr>
      <w:r>
        <w:separator/>
      </w:r>
    </w:p>
  </w:footnote>
  <w:footnote w:type="continuationSeparator" w:id="0">
    <w:p w:rsidR="006613CE" w:rsidRDefault="006613CE" w:rsidP="005E0B70">
      <w:pPr>
        <w:spacing w:after="0" w:line="240" w:lineRule="auto"/>
      </w:pPr>
      <w:r>
        <w:continuationSeparator/>
      </w:r>
    </w:p>
  </w:footnote>
  <w:footnote w:id="1">
    <w:p w:rsidR="00855478" w:rsidRDefault="00855478" w:rsidP="00855478">
      <w:pPr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855478">
        <w:rPr>
          <w:sz w:val="20"/>
          <w:szCs w:val="20"/>
        </w:rPr>
        <w:t>To Mrs Henry Carmichael-Smyth. 11? June 1842. 100 – 102.</w:t>
      </w:r>
    </w:p>
  </w:footnote>
  <w:footnote w:id="2">
    <w:p w:rsidR="00670C2B" w:rsidRDefault="00670C2B" w:rsidP="00670C2B">
      <w:pPr>
        <w:pStyle w:val="FootnoteText"/>
      </w:pPr>
      <w:r>
        <w:rPr>
          <w:rStyle w:val="FootnoteReference"/>
        </w:rPr>
        <w:footnoteRef/>
      </w:r>
      <w:r>
        <w:t xml:space="preserve"> Taylor 31.</w:t>
      </w:r>
    </w:p>
  </w:footnote>
  <w:footnote w:id="3">
    <w:p w:rsidR="005E0B70" w:rsidRPr="009C3922" w:rsidRDefault="005E0B70" w:rsidP="009C3922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4577A6" w:rsidRPr="00707C84">
        <w:rPr>
          <w:sz w:val="20"/>
          <w:szCs w:val="20"/>
        </w:rPr>
        <w:t>To Mrs Henry Carmichael-Smyth. March 1839. Harden 46-47.</w:t>
      </w:r>
    </w:p>
  </w:footnote>
  <w:footnote w:id="4">
    <w:p w:rsidR="00F50C66" w:rsidRDefault="00F50C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07C84">
        <w:t>To Mrs Henry Carmichael-Smyth.</w:t>
      </w:r>
      <w:r>
        <w:t xml:space="preserve"> </w:t>
      </w:r>
      <w:r w:rsidRPr="005F2611">
        <w:t xml:space="preserve">20-21 August 1840. </w:t>
      </w:r>
      <w:r>
        <w:t>Harden</w:t>
      </w:r>
      <w:r w:rsidRPr="005F2611">
        <w:t xml:space="preserve"> 67-8.</w:t>
      </w:r>
    </w:p>
  </w:footnote>
  <w:footnote w:id="5">
    <w:p w:rsidR="009C3922" w:rsidRDefault="009C3922">
      <w:pPr>
        <w:pStyle w:val="FootnoteText"/>
      </w:pPr>
      <w:r>
        <w:rPr>
          <w:rStyle w:val="FootnoteReference"/>
        </w:rPr>
        <w:footnoteRef/>
      </w:r>
      <w:r>
        <w:t xml:space="preserve"> _A Shabby Genteel Story’ 84.</w:t>
      </w:r>
    </w:p>
  </w:footnote>
  <w:footnote w:id="6">
    <w:p w:rsidR="00707C84" w:rsidRDefault="00707C84">
      <w:pPr>
        <w:pStyle w:val="FootnoteText"/>
      </w:pPr>
      <w:r>
        <w:rPr>
          <w:rStyle w:val="FootnoteReference"/>
        </w:rPr>
        <w:footnoteRef/>
      </w:r>
      <w:r>
        <w:t xml:space="preserve"> Dasgupta 198.</w:t>
      </w:r>
    </w:p>
  </w:footnote>
  <w:footnote w:id="7">
    <w:p w:rsidR="00F25188" w:rsidRDefault="00F25188">
      <w:pPr>
        <w:pStyle w:val="FootnoteText"/>
      </w:pPr>
      <w:r>
        <w:rPr>
          <w:rStyle w:val="FootnoteReference"/>
        </w:rPr>
        <w:footnoteRef/>
      </w:r>
      <w:r>
        <w:t xml:space="preserve"> Taylor 155.</w:t>
      </w:r>
    </w:p>
  </w:footnote>
  <w:footnote w:id="8">
    <w:p w:rsidR="00D84067" w:rsidRDefault="00D84067" w:rsidP="00594C45">
      <w:pPr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855478">
        <w:rPr>
          <w:sz w:val="20"/>
          <w:szCs w:val="20"/>
        </w:rPr>
        <w:t>To Mrs Henry Carmichael-Smyth. 11? June 1842. 100 – 102.</w:t>
      </w:r>
    </w:p>
  </w:footnote>
  <w:footnote w:id="9">
    <w:p w:rsidR="009C7584" w:rsidRDefault="009C7584">
      <w:pPr>
        <w:pStyle w:val="FootnoteText"/>
      </w:pPr>
      <w:r>
        <w:rPr>
          <w:rStyle w:val="FootnoteReference"/>
        </w:rPr>
        <w:footnoteRef/>
      </w:r>
      <w:r>
        <w:t xml:space="preserve"> [_</w:t>
      </w:r>
      <w:proofErr w:type="spellStart"/>
      <w:r>
        <w:t>Sanditon</w:t>
      </w:r>
      <w:proofErr w:type="spellEnd"/>
      <w:proofErr w:type="gramStart"/>
      <w:r>
        <w:t>_](</w:t>
      </w:r>
      <w:proofErr w:type="gramEnd"/>
      <w:r w:rsidRPr="009C7584">
        <w:t xml:space="preserve"> https://en.wikisource.org/wiki/Page:Austen_Sanditon_and_other_miscellanea.djvu/31</w:t>
      </w:r>
      <w:r>
        <w:t>)</w:t>
      </w:r>
    </w:p>
  </w:footnote>
  <w:footnote w:id="10">
    <w:p w:rsidR="00594C45" w:rsidRDefault="00594C45">
      <w:pPr>
        <w:pStyle w:val="FootnoteText"/>
      </w:pPr>
      <w:r>
        <w:rPr>
          <w:rStyle w:val="FootnoteReference"/>
        </w:rPr>
        <w:footnoteRef/>
      </w:r>
      <w:r>
        <w:t xml:space="preserve"> [_The Virginians_](</w:t>
      </w:r>
      <w:hyperlink r:id="rId1" w:history="1">
        <w:r w:rsidRPr="000F6998">
          <w:rPr>
            <w:rStyle w:val="Hyperlink"/>
            <w:sz w:val="24"/>
            <w:szCs w:val="24"/>
          </w:rPr>
          <w:t>https://archive.org/details/in.ernet.dli.2015.207951/mode/2up?q=%22had+fits+and+ran+off+to+the+solitude+of+her%22</w:t>
        </w:r>
      </w:hyperlink>
      <w:r>
        <w:t>) 741.</w:t>
      </w:r>
    </w:p>
  </w:footnote>
  <w:footnote w:id="11">
    <w:p w:rsidR="00594C45" w:rsidRDefault="00594C45">
      <w:pPr>
        <w:pStyle w:val="FootnoteText"/>
      </w:pPr>
      <w:r>
        <w:rPr>
          <w:rStyle w:val="FootnoteReference"/>
        </w:rPr>
        <w:footnoteRef/>
      </w:r>
      <w:r>
        <w:t xml:space="preserve"> ‘Tunbridge Toys’ 316.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0C"/>
    <w:rsid w:val="00044BE1"/>
    <w:rsid w:val="000B1103"/>
    <w:rsid w:val="00112457"/>
    <w:rsid w:val="001A2919"/>
    <w:rsid w:val="001C240A"/>
    <w:rsid w:val="002F4B09"/>
    <w:rsid w:val="0035612A"/>
    <w:rsid w:val="00391BAF"/>
    <w:rsid w:val="003D4F19"/>
    <w:rsid w:val="004577A6"/>
    <w:rsid w:val="004B2975"/>
    <w:rsid w:val="004E0008"/>
    <w:rsid w:val="00513F9A"/>
    <w:rsid w:val="0055696A"/>
    <w:rsid w:val="00594C45"/>
    <w:rsid w:val="005A37E9"/>
    <w:rsid w:val="005B37E7"/>
    <w:rsid w:val="005E0B70"/>
    <w:rsid w:val="005E43AC"/>
    <w:rsid w:val="0062563E"/>
    <w:rsid w:val="006613CE"/>
    <w:rsid w:val="00670C2B"/>
    <w:rsid w:val="00680EAD"/>
    <w:rsid w:val="00707C84"/>
    <w:rsid w:val="00753A1A"/>
    <w:rsid w:val="00764D44"/>
    <w:rsid w:val="00800584"/>
    <w:rsid w:val="00836F3E"/>
    <w:rsid w:val="00855478"/>
    <w:rsid w:val="008F34FB"/>
    <w:rsid w:val="008F3F7F"/>
    <w:rsid w:val="008F68CA"/>
    <w:rsid w:val="0098421A"/>
    <w:rsid w:val="009C3922"/>
    <w:rsid w:val="009C7584"/>
    <w:rsid w:val="00A02CE2"/>
    <w:rsid w:val="00A37C7C"/>
    <w:rsid w:val="00A54AD1"/>
    <w:rsid w:val="00AA20A2"/>
    <w:rsid w:val="00AF42DA"/>
    <w:rsid w:val="00B426EE"/>
    <w:rsid w:val="00B84085"/>
    <w:rsid w:val="00B9340C"/>
    <w:rsid w:val="00C25E78"/>
    <w:rsid w:val="00C418B3"/>
    <w:rsid w:val="00D84067"/>
    <w:rsid w:val="00E07399"/>
    <w:rsid w:val="00E15FDE"/>
    <w:rsid w:val="00E32392"/>
    <w:rsid w:val="00E878B9"/>
    <w:rsid w:val="00ED53A1"/>
    <w:rsid w:val="00F25188"/>
    <w:rsid w:val="00F4626A"/>
    <w:rsid w:val="00F50C66"/>
    <w:rsid w:val="00F83F2D"/>
    <w:rsid w:val="00FC5DC8"/>
    <w:rsid w:val="00F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E75E"/>
  <w15:chartTrackingRefBased/>
  <w15:docId w15:val="{CE78BFCD-BC7D-4B4E-8E81-E417E95C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5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A1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0B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0B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0B7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C758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9C7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org/details/in.ernet.dli.2015.207951/mode/2up?q=%22had+fits+and+ran+off+to+the+solitude+of+her%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chive.org/details/in.ernet.dli.2015.207951/mode/2up?q=%22had+fits+and+ran+off+to+the+solitude+of+her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E565C93-2080-49C8-B2F2-2CA0D88C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58</cp:revision>
  <dcterms:created xsi:type="dcterms:W3CDTF">2022-07-15T09:23:00Z</dcterms:created>
  <dcterms:modified xsi:type="dcterms:W3CDTF">2022-07-15T13:38:00Z</dcterms:modified>
</cp:coreProperties>
</file>