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F221C" w14:textId="60B0F7FA" w:rsidR="004438FA" w:rsidRDefault="00631FC7" w:rsidP="00836FFA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Dickens and Friends</w:t>
      </w:r>
    </w:p>
    <w:p w14:paraId="1871509D" w14:textId="5C24C143" w:rsidR="00631FC7" w:rsidRDefault="00631FC7" w:rsidP="00836FFA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Prof Carolyn Oulton</w:t>
      </w:r>
    </w:p>
    <w:p w14:paraId="642CC1AA" w14:textId="77777777" w:rsidR="00EF70FA" w:rsidRDefault="00836FFA" w:rsidP="00836FF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study at [Gad’s </w:t>
      </w:r>
      <w:proofErr w:type="gramStart"/>
      <w:r>
        <w:rPr>
          <w:sz w:val="24"/>
          <w:szCs w:val="24"/>
        </w:rPr>
        <w:t>Hill](</w:t>
      </w:r>
      <w:proofErr w:type="gramEnd"/>
      <w:r w:rsidRPr="00836FFA">
        <w:rPr>
          <w:sz w:val="24"/>
          <w:szCs w:val="24"/>
        </w:rPr>
        <w:t>/dickens/dickens-gads-hill</w:t>
      </w:r>
      <w:r>
        <w:rPr>
          <w:sz w:val="24"/>
          <w:szCs w:val="24"/>
        </w:rPr>
        <w:t>) still features a wall of Dickens</w:t>
      </w:r>
      <w:r w:rsidR="001D4706">
        <w:rPr>
          <w:sz w:val="24"/>
          <w:szCs w:val="24"/>
        </w:rPr>
        <w:t>’s</w:t>
      </w:r>
      <w:r>
        <w:rPr>
          <w:sz w:val="24"/>
          <w:szCs w:val="24"/>
        </w:rPr>
        <w:t xml:space="preserve"> famous fake books. But his own visitors’ book would have included genuine contributions by some of the most famous figures of the nineteenth century</w:t>
      </w:r>
      <w:r w:rsidR="00EF70FA">
        <w:rPr>
          <w:sz w:val="24"/>
          <w:szCs w:val="24"/>
        </w:rPr>
        <w:t>.</w:t>
      </w:r>
    </w:p>
    <w:p w14:paraId="2ACA1254" w14:textId="181D4E8D" w:rsidR="00987E40" w:rsidRDefault="00EF70FA" w:rsidP="00987E4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Gad’s caught the imagination of writers from </w:t>
      </w:r>
      <w:r w:rsidR="00A01E90">
        <w:rPr>
          <w:sz w:val="24"/>
          <w:szCs w:val="24"/>
        </w:rPr>
        <w:t xml:space="preserve">Dickens’s friend and biographer John Forster </w:t>
      </w:r>
      <w:r w:rsidR="00836FFA">
        <w:rPr>
          <w:sz w:val="24"/>
          <w:szCs w:val="24"/>
        </w:rPr>
        <w:t xml:space="preserve">to </w:t>
      </w:r>
      <w:r w:rsidR="002F33BE">
        <w:rPr>
          <w:sz w:val="24"/>
          <w:szCs w:val="24"/>
        </w:rPr>
        <w:t>controversial journalist and novelist Eliza Lynn Linton (who was never asked to visit after selling the house to [Dickens](</w:t>
      </w:r>
      <w:r w:rsidR="002F33BE" w:rsidRPr="002F33BE">
        <w:rPr>
          <w:sz w:val="24"/>
          <w:szCs w:val="24"/>
        </w:rPr>
        <w:t>/dickens</w:t>
      </w:r>
      <w:r w:rsidR="002F33BE">
        <w:rPr>
          <w:sz w:val="24"/>
          <w:szCs w:val="24"/>
        </w:rPr>
        <w:t>) in the first place)</w:t>
      </w:r>
      <w:r w:rsidR="00D0548D">
        <w:rPr>
          <w:sz w:val="24"/>
          <w:szCs w:val="24"/>
        </w:rPr>
        <w:t>.</w:t>
      </w:r>
      <w:r w:rsidR="00987E40">
        <w:rPr>
          <w:sz w:val="24"/>
          <w:szCs w:val="24"/>
        </w:rPr>
        <w:t xml:space="preserve"> </w:t>
      </w:r>
      <w:r w:rsidR="00041652">
        <w:rPr>
          <w:sz w:val="24"/>
          <w:szCs w:val="24"/>
        </w:rPr>
        <w:t xml:space="preserve">The American poet Henry </w:t>
      </w:r>
      <w:proofErr w:type="spellStart"/>
      <w:r w:rsidR="00041652">
        <w:rPr>
          <w:sz w:val="24"/>
          <w:szCs w:val="24"/>
        </w:rPr>
        <w:t>Wardsworth</w:t>
      </w:r>
      <w:proofErr w:type="spellEnd"/>
      <w:r w:rsidR="00041652">
        <w:rPr>
          <w:sz w:val="24"/>
          <w:szCs w:val="24"/>
        </w:rPr>
        <w:t xml:space="preserve"> Longfellow ‘traded amicable visits’</w:t>
      </w:r>
      <w:r w:rsidR="00041652">
        <w:rPr>
          <w:rStyle w:val="FootnoteReference"/>
          <w:sz w:val="24"/>
          <w:szCs w:val="24"/>
        </w:rPr>
        <w:footnoteReference w:id="1"/>
      </w:r>
      <w:r w:rsidR="00041652">
        <w:rPr>
          <w:sz w:val="24"/>
          <w:szCs w:val="24"/>
        </w:rPr>
        <w:t xml:space="preserve"> with Dickens and </w:t>
      </w:r>
      <w:r w:rsidR="00987E40">
        <w:rPr>
          <w:sz w:val="24"/>
          <w:szCs w:val="24"/>
        </w:rPr>
        <w:t xml:space="preserve">[Hans Christian </w:t>
      </w:r>
      <w:proofErr w:type="gramStart"/>
      <w:r w:rsidR="00987E40">
        <w:rPr>
          <w:sz w:val="24"/>
          <w:szCs w:val="24"/>
        </w:rPr>
        <w:t>Andersen](</w:t>
      </w:r>
      <w:proofErr w:type="gramEnd"/>
      <w:r w:rsidR="00987E40" w:rsidRPr="00836FFA">
        <w:rPr>
          <w:sz w:val="24"/>
          <w:szCs w:val="24"/>
        </w:rPr>
        <w:t>/19c/19c-christian-andersen</w:t>
      </w:r>
      <w:r w:rsidR="00987E40">
        <w:rPr>
          <w:sz w:val="24"/>
          <w:szCs w:val="24"/>
        </w:rPr>
        <w:t>) whose five week stay ‘seemed to the family AGES’,</w:t>
      </w:r>
      <w:r w:rsidR="00987E40">
        <w:rPr>
          <w:rStyle w:val="FootnoteReference"/>
          <w:sz w:val="24"/>
          <w:szCs w:val="24"/>
        </w:rPr>
        <w:footnoteReference w:id="2"/>
      </w:r>
      <w:r w:rsidR="00987E40">
        <w:rPr>
          <w:sz w:val="24"/>
          <w:szCs w:val="24"/>
        </w:rPr>
        <w:t xml:space="preserve"> described the countryside as ‘Danish scenery, but richer and more highly cultivated’</w:t>
      </w:r>
      <w:r w:rsidR="00987E40">
        <w:rPr>
          <w:rStyle w:val="FootnoteReference"/>
          <w:sz w:val="24"/>
          <w:szCs w:val="24"/>
        </w:rPr>
        <w:footnoteReference w:id="3"/>
      </w:r>
      <w:r w:rsidR="00987E40">
        <w:rPr>
          <w:sz w:val="24"/>
          <w:szCs w:val="24"/>
        </w:rPr>
        <w:t>.</w:t>
      </w:r>
    </w:p>
    <w:p w14:paraId="02FBA011" w14:textId="6A5B03BD" w:rsidR="00A01E90" w:rsidRDefault="00987E40" w:rsidP="00290AE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While he lived within a few miles of the famous author</w:t>
      </w:r>
      <w:r w:rsidR="006A185F">
        <w:rPr>
          <w:sz w:val="24"/>
          <w:szCs w:val="24"/>
        </w:rPr>
        <w:t xml:space="preserve"> and successfully solicited his time as a public speaker</w:t>
      </w:r>
      <w:r>
        <w:rPr>
          <w:sz w:val="24"/>
          <w:szCs w:val="24"/>
        </w:rPr>
        <w:t xml:space="preserve">, the opportunist </w:t>
      </w:r>
      <w:r w:rsidR="006A185F">
        <w:rPr>
          <w:sz w:val="24"/>
          <w:szCs w:val="24"/>
        </w:rPr>
        <w:t xml:space="preserve">poet and journalist [Henry Gardener </w:t>
      </w:r>
      <w:proofErr w:type="gramStart"/>
      <w:r w:rsidR="006A185F">
        <w:rPr>
          <w:sz w:val="24"/>
          <w:szCs w:val="24"/>
        </w:rPr>
        <w:t>Adams](</w:t>
      </w:r>
      <w:proofErr w:type="gramEnd"/>
      <w:r w:rsidR="006A185F" w:rsidRPr="00987E40">
        <w:rPr>
          <w:sz w:val="24"/>
          <w:szCs w:val="24"/>
        </w:rPr>
        <w:t>/19c/19c-gardiner-adams-biography</w:t>
      </w:r>
      <w:r w:rsidR="006A185F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seems not to have been </w:t>
      </w:r>
      <w:r w:rsidR="006A185F">
        <w:rPr>
          <w:sz w:val="24"/>
          <w:szCs w:val="24"/>
        </w:rPr>
        <w:t xml:space="preserve">invited to the house. But </w:t>
      </w:r>
      <w:r w:rsidR="007C11EE">
        <w:rPr>
          <w:sz w:val="24"/>
          <w:szCs w:val="24"/>
        </w:rPr>
        <w:t xml:space="preserve">other minor writers such as H. F. Chorley and </w:t>
      </w:r>
      <w:r w:rsidR="006A185F">
        <w:rPr>
          <w:sz w:val="24"/>
          <w:szCs w:val="24"/>
        </w:rPr>
        <w:t>a</w:t>
      </w:r>
      <w:r w:rsidR="00290AE9">
        <w:rPr>
          <w:sz w:val="24"/>
          <w:szCs w:val="24"/>
        </w:rPr>
        <w:t xml:space="preserve"> number of the journalists known as ‘Dickens’s Young Men’, including Percy Fitzgerald and Edmund Yates, were asked for weekends</w:t>
      </w:r>
      <w:r w:rsidR="007C11EE">
        <w:rPr>
          <w:sz w:val="24"/>
          <w:szCs w:val="24"/>
        </w:rPr>
        <w:t xml:space="preserve">. So </w:t>
      </w:r>
      <w:r w:rsidR="00A01E90">
        <w:rPr>
          <w:sz w:val="24"/>
          <w:szCs w:val="24"/>
        </w:rPr>
        <w:t xml:space="preserve">of course was the faithful W. H. Wills (sub-editor of </w:t>
      </w:r>
      <w:r w:rsidR="00A01E90">
        <w:rPr>
          <w:i/>
          <w:sz w:val="24"/>
          <w:szCs w:val="24"/>
        </w:rPr>
        <w:t>Household Words</w:t>
      </w:r>
      <w:r w:rsidR="00A01E90">
        <w:rPr>
          <w:sz w:val="24"/>
          <w:szCs w:val="24"/>
        </w:rPr>
        <w:t xml:space="preserve"> and subsequently private secretary to [Angela Burdett </w:t>
      </w:r>
      <w:proofErr w:type="gramStart"/>
      <w:r w:rsidR="00A01E90">
        <w:rPr>
          <w:sz w:val="24"/>
          <w:szCs w:val="24"/>
        </w:rPr>
        <w:t>Coutts](</w:t>
      </w:r>
      <w:proofErr w:type="gramEnd"/>
      <w:r w:rsidR="00A01E90" w:rsidRPr="00A01E90">
        <w:t xml:space="preserve"> </w:t>
      </w:r>
      <w:r w:rsidR="00A01E90" w:rsidRPr="00A01E90">
        <w:rPr>
          <w:sz w:val="24"/>
          <w:szCs w:val="24"/>
        </w:rPr>
        <w:t>/19c/19c-burdett-coutts-biography</w:t>
      </w:r>
      <w:r w:rsidR="00A01E90">
        <w:rPr>
          <w:sz w:val="24"/>
          <w:szCs w:val="24"/>
        </w:rPr>
        <w:t>))</w:t>
      </w:r>
      <w:r w:rsidR="00290AE9">
        <w:rPr>
          <w:sz w:val="24"/>
          <w:szCs w:val="24"/>
        </w:rPr>
        <w:t xml:space="preserve">. [G. A. </w:t>
      </w:r>
      <w:proofErr w:type="gramStart"/>
      <w:r w:rsidR="00290AE9">
        <w:rPr>
          <w:sz w:val="24"/>
          <w:szCs w:val="24"/>
        </w:rPr>
        <w:t>Sala](</w:t>
      </w:r>
      <w:proofErr w:type="gramEnd"/>
      <w:r w:rsidR="00290AE9" w:rsidRPr="00290AE9">
        <w:rPr>
          <w:sz w:val="24"/>
          <w:szCs w:val="24"/>
        </w:rPr>
        <w:t>/19c/19c-sala-biography</w:t>
      </w:r>
      <w:r w:rsidR="00290AE9">
        <w:rPr>
          <w:sz w:val="24"/>
          <w:szCs w:val="24"/>
        </w:rPr>
        <w:t xml:space="preserve">) described the ‘military time’ of meals and the expectation that guests would spend designated hours at work – during one visit with </w:t>
      </w:r>
      <w:r w:rsidR="00836FFA">
        <w:rPr>
          <w:sz w:val="24"/>
          <w:szCs w:val="24"/>
        </w:rPr>
        <w:t>[</w:t>
      </w:r>
      <w:proofErr w:type="spellStart"/>
      <w:r w:rsidR="00836FFA">
        <w:rPr>
          <w:sz w:val="24"/>
          <w:szCs w:val="24"/>
        </w:rPr>
        <w:t>Wilkie</w:t>
      </w:r>
      <w:proofErr w:type="spellEnd"/>
      <w:r w:rsidR="00836FFA">
        <w:rPr>
          <w:sz w:val="24"/>
          <w:szCs w:val="24"/>
        </w:rPr>
        <w:t xml:space="preserve"> Collins]</w:t>
      </w:r>
      <w:r w:rsidR="002F33BE">
        <w:rPr>
          <w:sz w:val="24"/>
          <w:szCs w:val="24"/>
        </w:rPr>
        <w:t>(</w:t>
      </w:r>
      <w:r w:rsidR="002F33BE" w:rsidRPr="002F33BE">
        <w:t xml:space="preserve"> </w:t>
      </w:r>
      <w:r w:rsidR="002F33BE" w:rsidRPr="002F33BE">
        <w:rPr>
          <w:sz w:val="24"/>
          <w:szCs w:val="24"/>
        </w:rPr>
        <w:t>/19c/19c-collins-biography</w:t>
      </w:r>
      <w:r w:rsidR="002F33BE">
        <w:rPr>
          <w:sz w:val="24"/>
          <w:szCs w:val="24"/>
        </w:rPr>
        <w:t>)</w:t>
      </w:r>
      <w:r w:rsidR="00A25C30">
        <w:rPr>
          <w:sz w:val="24"/>
          <w:szCs w:val="24"/>
        </w:rPr>
        <w:t xml:space="preserve"> </w:t>
      </w:r>
      <w:r w:rsidR="00290AE9">
        <w:rPr>
          <w:sz w:val="24"/>
          <w:szCs w:val="24"/>
        </w:rPr>
        <w:t>Sala apparently doodled with a spare set of proofs to avoid offending his host.</w:t>
      </w:r>
      <w:r w:rsidR="00290AE9">
        <w:rPr>
          <w:rStyle w:val="FootnoteReference"/>
          <w:sz w:val="24"/>
          <w:szCs w:val="24"/>
        </w:rPr>
        <w:footnoteReference w:id="4"/>
      </w:r>
      <w:r w:rsidR="00290AE9">
        <w:rPr>
          <w:sz w:val="24"/>
          <w:szCs w:val="24"/>
        </w:rPr>
        <w:t xml:space="preserve"> </w:t>
      </w:r>
    </w:p>
    <w:p w14:paraId="60C36076" w14:textId="2722D929" w:rsidR="00800F1C" w:rsidRDefault="00290AE9" w:rsidP="00290AE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Collins himself </w:t>
      </w:r>
      <w:r w:rsidR="00A25C30">
        <w:rPr>
          <w:sz w:val="24"/>
          <w:szCs w:val="24"/>
        </w:rPr>
        <w:t xml:space="preserve">was a regular visitor, as was his </w:t>
      </w:r>
      <w:r w:rsidR="006A185F">
        <w:rPr>
          <w:sz w:val="24"/>
          <w:szCs w:val="24"/>
        </w:rPr>
        <w:t xml:space="preserve">artist </w:t>
      </w:r>
      <w:r w:rsidR="00A25C30">
        <w:rPr>
          <w:sz w:val="24"/>
          <w:szCs w:val="24"/>
        </w:rPr>
        <w:t xml:space="preserve">brother Charles, who married Dickens’s daughter </w:t>
      </w:r>
      <w:r w:rsidR="00800F1C">
        <w:rPr>
          <w:sz w:val="24"/>
          <w:szCs w:val="24"/>
        </w:rPr>
        <w:t>(and later artist)</w:t>
      </w:r>
      <w:r w:rsidR="00A25C30">
        <w:rPr>
          <w:sz w:val="24"/>
          <w:szCs w:val="24"/>
        </w:rPr>
        <w:t xml:space="preserve"> </w:t>
      </w:r>
      <w:r w:rsidR="000134ED">
        <w:rPr>
          <w:sz w:val="24"/>
          <w:szCs w:val="24"/>
        </w:rPr>
        <w:t xml:space="preserve">Kate </w:t>
      </w:r>
      <w:r w:rsidR="00A25C30">
        <w:rPr>
          <w:sz w:val="24"/>
          <w:szCs w:val="24"/>
        </w:rPr>
        <w:t xml:space="preserve">in 1860. </w:t>
      </w:r>
      <w:r w:rsidR="00800F1C">
        <w:rPr>
          <w:sz w:val="24"/>
          <w:szCs w:val="24"/>
        </w:rPr>
        <w:t xml:space="preserve">Other artist friends included Marcus Stone, Holman </w:t>
      </w:r>
      <w:r w:rsidR="00800F1C">
        <w:rPr>
          <w:sz w:val="24"/>
          <w:szCs w:val="24"/>
        </w:rPr>
        <w:lastRenderedPageBreak/>
        <w:t>Hunt and W. P. Frith. It was John Everett Millais who painted the famous death mask of Dickens in 1870.</w:t>
      </w:r>
    </w:p>
    <w:p w14:paraId="18D83113" w14:textId="5DB4162B" w:rsidR="00DF3F8F" w:rsidRDefault="00A25C30" w:rsidP="00290AE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Kate’s godfather the actor William Macready stayed even during his later, reclusive years. </w:t>
      </w:r>
      <w:r w:rsidR="008A0479">
        <w:rPr>
          <w:sz w:val="24"/>
          <w:szCs w:val="24"/>
        </w:rPr>
        <w:t>It was another</w:t>
      </w:r>
      <w:r w:rsidR="00FC4C6A">
        <w:rPr>
          <w:sz w:val="24"/>
          <w:szCs w:val="24"/>
        </w:rPr>
        <w:t xml:space="preserve"> actor</w:t>
      </w:r>
      <w:r w:rsidR="008A0479">
        <w:rPr>
          <w:sz w:val="24"/>
          <w:szCs w:val="24"/>
        </w:rPr>
        <w:t>,</w:t>
      </w:r>
      <w:r w:rsidR="00FC4C6A">
        <w:rPr>
          <w:sz w:val="24"/>
          <w:szCs w:val="24"/>
        </w:rPr>
        <w:t xml:space="preserve"> Charles </w:t>
      </w:r>
      <w:proofErr w:type="spellStart"/>
      <w:r w:rsidR="00FC4C6A">
        <w:rPr>
          <w:sz w:val="24"/>
          <w:szCs w:val="24"/>
        </w:rPr>
        <w:t>Fechter</w:t>
      </w:r>
      <w:proofErr w:type="spellEnd"/>
      <w:r w:rsidR="008A0479">
        <w:rPr>
          <w:sz w:val="24"/>
          <w:szCs w:val="24"/>
        </w:rPr>
        <w:t>, who gave [Dickens](</w:t>
      </w:r>
      <w:r w:rsidR="008A0479" w:rsidRPr="002F33BE">
        <w:rPr>
          <w:sz w:val="24"/>
          <w:szCs w:val="24"/>
        </w:rPr>
        <w:t>/dickens</w:t>
      </w:r>
      <w:r w:rsidR="008A0479">
        <w:rPr>
          <w:sz w:val="24"/>
          <w:szCs w:val="24"/>
        </w:rPr>
        <w:t xml:space="preserve">) the iconic [Swiss </w:t>
      </w:r>
      <w:proofErr w:type="gramStart"/>
      <w:r w:rsidR="008A0479">
        <w:rPr>
          <w:sz w:val="24"/>
          <w:szCs w:val="24"/>
        </w:rPr>
        <w:t>Chalet](</w:t>
      </w:r>
      <w:proofErr w:type="gramEnd"/>
      <w:r w:rsidR="008A0479" w:rsidRPr="008A0479">
        <w:rPr>
          <w:sz w:val="24"/>
          <w:szCs w:val="24"/>
        </w:rPr>
        <w:t>/dickens/dickens-swiss-chalet</w:t>
      </w:r>
      <w:r w:rsidR="008A0479">
        <w:rPr>
          <w:sz w:val="24"/>
          <w:szCs w:val="24"/>
        </w:rPr>
        <w:t>) as a Christmas present in 1864.</w:t>
      </w:r>
    </w:p>
    <w:p w14:paraId="091712CA" w14:textId="54458952" w:rsidR="00631FC7" w:rsidRDefault="00DF3F8F" w:rsidP="00290AE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Friends from Dickens’s la</w:t>
      </w:r>
      <w:r w:rsidR="00243841">
        <w:rPr>
          <w:sz w:val="24"/>
          <w:szCs w:val="24"/>
        </w:rPr>
        <w:t>st</w:t>
      </w:r>
      <w:r>
        <w:rPr>
          <w:sz w:val="24"/>
          <w:szCs w:val="24"/>
        </w:rPr>
        <w:t xml:space="preserve"> years included George Dolby, the manager of his reading tours and his American publisher James Fields, whose wife Annie left a vivid account of their visit.</w:t>
      </w:r>
      <w:r w:rsidR="007C11EE">
        <w:rPr>
          <w:sz w:val="24"/>
          <w:szCs w:val="24"/>
        </w:rPr>
        <w:t xml:space="preserve"> </w:t>
      </w:r>
      <w:r w:rsidR="00A25C30">
        <w:rPr>
          <w:sz w:val="24"/>
          <w:szCs w:val="24"/>
        </w:rPr>
        <w:t xml:space="preserve">After the breakdown of </w:t>
      </w:r>
      <w:r w:rsidR="001D4706">
        <w:rPr>
          <w:sz w:val="24"/>
          <w:szCs w:val="24"/>
        </w:rPr>
        <w:t xml:space="preserve">the </w:t>
      </w:r>
      <w:r w:rsidR="00A25C30">
        <w:rPr>
          <w:sz w:val="24"/>
          <w:szCs w:val="24"/>
        </w:rPr>
        <w:t xml:space="preserve">Dickens marriage Catherine </w:t>
      </w:r>
      <w:r w:rsidR="001D4706">
        <w:rPr>
          <w:sz w:val="24"/>
          <w:szCs w:val="24"/>
        </w:rPr>
        <w:t xml:space="preserve">remained in London and </w:t>
      </w:r>
      <w:r w:rsidR="00A25C30">
        <w:rPr>
          <w:sz w:val="24"/>
          <w:szCs w:val="24"/>
        </w:rPr>
        <w:t xml:space="preserve">would not set foot in the house again during </w:t>
      </w:r>
      <w:r w:rsidR="001D4706">
        <w:rPr>
          <w:sz w:val="24"/>
          <w:szCs w:val="24"/>
        </w:rPr>
        <w:t>her husband</w:t>
      </w:r>
      <w:r w:rsidR="00A25C30">
        <w:rPr>
          <w:sz w:val="24"/>
          <w:szCs w:val="24"/>
        </w:rPr>
        <w:t>’s lifetime.</w:t>
      </w:r>
      <w:r w:rsidR="001D4706">
        <w:rPr>
          <w:sz w:val="24"/>
          <w:szCs w:val="24"/>
        </w:rPr>
        <w:t xml:space="preserve"> [Ellen </w:t>
      </w:r>
      <w:proofErr w:type="spellStart"/>
      <w:proofErr w:type="gramStart"/>
      <w:r w:rsidR="001D4706">
        <w:rPr>
          <w:sz w:val="24"/>
          <w:szCs w:val="24"/>
        </w:rPr>
        <w:t>Ternan</w:t>
      </w:r>
      <w:proofErr w:type="spellEnd"/>
      <w:r w:rsidR="001D4706">
        <w:rPr>
          <w:sz w:val="24"/>
          <w:szCs w:val="24"/>
        </w:rPr>
        <w:t>](</w:t>
      </w:r>
      <w:proofErr w:type="gramEnd"/>
      <w:r w:rsidR="001D4706" w:rsidRPr="001D4706">
        <w:rPr>
          <w:sz w:val="24"/>
          <w:szCs w:val="24"/>
        </w:rPr>
        <w:t>/19c/19c-ternan-biography</w:t>
      </w:r>
      <w:r w:rsidR="001D4706">
        <w:rPr>
          <w:sz w:val="24"/>
          <w:szCs w:val="24"/>
        </w:rPr>
        <w:t>) visited Georgina Hogarth here</w:t>
      </w:r>
      <w:r w:rsidR="00243841">
        <w:rPr>
          <w:sz w:val="24"/>
          <w:szCs w:val="24"/>
        </w:rPr>
        <w:t>, probably only</w:t>
      </w:r>
      <w:r w:rsidR="001D4706">
        <w:rPr>
          <w:sz w:val="24"/>
          <w:szCs w:val="24"/>
        </w:rPr>
        <w:t xml:space="preserve"> after Dickens’s death.</w:t>
      </w:r>
    </w:p>
    <w:p w14:paraId="0D965376" w14:textId="07DFB0D9" w:rsidR="00800F1C" w:rsidRDefault="00800F1C" w:rsidP="00290AE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Gad</w:t>
      </w:r>
      <w:r w:rsidR="000134ED">
        <w:rPr>
          <w:sz w:val="24"/>
          <w:szCs w:val="24"/>
        </w:rPr>
        <w:t xml:space="preserve"> would </w:t>
      </w:r>
      <w:r w:rsidR="00DA4451">
        <w:rPr>
          <w:sz w:val="24"/>
          <w:szCs w:val="24"/>
        </w:rPr>
        <w:t xml:space="preserve">ultimately </w:t>
      </w:r>
      <w:bookmarkStart w:id="0" w:name="_GoBack"/>
      <w:bookmarkEnd w:id="0"/>
      <w:r>
        <w:rPr>
          <w:sz w:val="24"/>
          <w:szCs w:val="24"/>
        </w:rPr>
        <w:t>bec</w:t>
      </w:r>
      <w:r w:rsidR="000134ED">
        <w:rPr>
          <w:sz w:val="24"/>
          <w:szCs w:val="24"/>
        </w:rPr>
        <w:t>o</w:t>
      </w:r>
      <w:r>
        <w:rPr>
          <w:sz w:val="24"/>
          <w:szCs w:val="24"/>
        </w:rPr>
        <w:t>me a focus for literary pilgrims such as [Thomas Frost](</w:t>
      </w:r>
      <w:r w:rsidRPr="00800F1C">
        <w:rPr>
          <w:sz w:val="24"/>
          <w:szCs w:val="24"/>
        </w:rPr>
        <w:t>/19c/19c-frost-biography</w:t>
      </w:r>
      <w:r>
        <w:rPr>
          <w:sz w:val="24"/>
          <w:szCs w:val="24"/>
        </w:rPr>
        <w:t>)</w:t>
      </w:r>
      <w:r w:rsidR="00665288">
        <w:rPr>
          <w:sz w:val="24"/>
          <w:szCs w:val="24"/>
        </w:rPr>
        <w:t xml:space="preserve"> and of course the writer of this article</w:t>
      </w:r>
      <w:r>
        <w:rPr>
          <w:sz w:val="24"/>
          <w:szCs w:val="24"/>
        </w:rPr>
        <w:t>.</w:t>
      </w:r>
      <w:r w:rsidR="00665288">
        <w:rPr>
          <w:rStyle w:val="FootnoteReference"/>
          <w:sz w:val="24"/>
          <w:szCs w:val="24"/>
        </w:rPr>
        <w:footnoteReference w:id="5"/>
      </w:r>
    </w:p>
    <w:p w14:paraId="20A7CA00" w14:textId="5FFD1D6B" w:rsidR="00290AE9" w:rsidRDefault="00290AE9" w:rsidP="00836FFA">
      <w:pPr>
        <w:spacing w:line="360" w:lineRule="auto"/>
        <w:rPr>
          <w:sz w:val="24"/>
          <w:szCs w:val="24"/>
        </w:rPr>
      </w:pPr>
    </w:p>
    <w:p w14:paraId="0C5E6D49" w14:textId="52913258" w:rsidR="00290AE9" w:rsidRPr="00987E40" w:rsidRDefault="00290AE9" w:rsidP="00836FFA">
      <w:pPr>
        <w:spacing w:line="360" w:lineRule="auto"/>
        <w:rPr>
          <w:b/>
          <w:sz w:val="24"/>
          <w:szCs w:val="24"/>
        </w:rPr>
      </w:pPr>
      <w:r w:rsidRPr="00987E40">
        <w:rPr>
          <w:b/>
          <w:sz w:val="24"/>
          <w:szCs w:val="24"/>
        </w:rPr>
        <w:t>Bibliography</w:t>
      </w:r>
    </w:p>
    <w:p w14:paraId="2F6E26F1" w14:textId="0FBE0955" w:rsidR="00AA7FA5" w:rsidRPr="00DC5063" w:rsidRDefault="00AA7FA5" w:rsidP="00290AE9">
      <w:pPr>
        <w:pStyle w:val="FootnoteText"/>
        <w:rPr>
          <w:sz w:val="24"/>
          <w:szCs w:val="24"/>
        </w:rPr>
      </w:pPr>
      <w:r w:rsidRPr="00DC5063">
        <w:rPr>
          <w:sz w:val="24"/>
          <w:szCs w:val="24"/>
        </w:rPr>
        <w:t>Andersen, Hans Christian. [‘A Visit to Charles Dickens’](</w:t>
      </w:r>
      <w:hyperlink r:id="rId7" w:anchor="v=onepage&amp;q=VISIT%20GADSHILL&amp;f=false" w:history="1">
        <w:r w:rsidRPr="00DC5063">
          <w:rPr>
            <w:rStyle w:val="Hyperlink"/>
            <w:sz w:val="24"/>
            <w:szCs w:val="24"/>
          </w:rPr>
          <w:t>https://books.google.co.uk/books?id=0j88AQAAMAAJ&amp;newbks=0&amp;printsec=frontcover&amp;pg=PA28&amp;dq=VISIT+GADSHILL&amp;hl=en&amp;redir_esc=y#v=onepage&amp;q=VISIT%20GADSHILL&amp;f=false</w:t>
        </w:r>
      </w:hyperlink>
      <w:r w:rsidRPr="00DC5063">
        <w:rPr>
          <w:sz w:val="24"/>
          <w:szCs w:val="24"/>
        </w:rPr>
        <w:t>). _Temple Bar_ 31. March 1871. 27-46.</w:t>
      </w:r>
    </w:p>
    <w:p w14:paraId="0878CDB6" w14:textId="77777777" w:rsidR="00AA7FA5" w:rsidRPr="00DC5063" w:rsidRDefault="00AA7FA5" w:rsidP="00290AE9">
      <w:pPr>
        <w:pStyle w:val="FootnoteText"/>
        <w:rPr>
          <w:sz w:val="24"/>
          <w:szCs w:val="24"/>
        </w:rPr>
      </w:pPr>
    </w:p>
    <w:p w14:paraId="2D9ADF77" w14:textId="13A15243" w:rsidR="00041652" w:rsidRPr="00DC5063" w:rsidRDefault="00041652" w:rsidP="00041652">
      <w:pPr>
        <w:pStyle w:val="FootnoteText"/>
        <w:rPr>
          <w:rFonts w:eastAsia="Times New Roman" w:cstheme="minorHAnsi"/>
          <w:kern w:val="36"/>
          <w:sz w:val="24"/>
          <w:szCs w:val="24"/>
          <w:lang w:eastAsia="en-GB"/>
        </w:rPr>
      </w:pPr>
      <w:r w:rsidRPr="00DC5063">
        <w:rPr>
          <w:sz w:val="24"/>
          <w:szCs w:val="24"/>
        </w:rPr>
        <w:t>Booth, Alison. [‘</w:t>
      </w:r>
      <w:r w:rsidRPr="00DC5063">
        <w:rPr>
          <w:rFonts w:eastAsia="Times New Roman" w:cstheme="minorHAnsi"/>
          <w:color w:val="000000"/>
          <w:kern w:val="36"/>
          <w:sz w:val="24"/>
          <w:szCs w:val="24"/>
          <w:lang w:eastAsia="en-GB"/>
        </w:rPr>
        <w:t xml:space="preserve">Author Country: Longfellow, the </w:t>
      </w:r>
      <w:proofErr w:type="spellStart"/>
      <w:r w:rsidRPr="00DC5063">
        <w:rPr>
          <w:rFonts w:eastAsia="Times New Roman" w:cstheme="minorHAnsi"/>
          <w:color w:val="000000"/>
          <w:kern w:val="36"/>
          <w:sz w:val="24"/>
          <w:szCs w:val="24"/>
          <w:lang w:eastAsia="en-GB"/>
        </w:rPr>
        <w:t>Brontës</w:t>
      </w:r>
      <w:proofErr w:type="spellEnd"/>
      <w:r w:rsidRPr="00DC5063">
        <w:rPr>
          <w:rFonts w:eastAsia="Times New Roman" w:cstheme="minorHAnsi"/>
          <w:color w:val="000000"/>
          <w:kern w:val="36"/>
          <w:sz w:val="24"/>
          <w:szCs w:val="24"/>
          <w:lang w:eastAsia="en-GB"/>
        </w:rPr>
        <w:t>, and Anglophone Homes and Haunts.</w:t>
      </w:r>
      <w:proofErr w:type="gramStart"/>
      <w:r w:rsidRPr="00DC5063">
        <w:rPr>
          <w:rFonts w:eastAsia="Times New Roman" w:cstheme="minorHAnsi"/>
          <w:color w:val="000000"/>
          <w:kern w:val="36"/>
          <w:sz w:val="24"/>
          <w:szCs w:val="24"/>
          <w:lang w:eastAsia="en-GB"/>
        </w:rPr>
        <w:t>’](</w:t>
      </w:r>
      <w:proofErr w:type="gramEnd"/>
      <w:r w:rsidRPr="00DC5063">
        <w:rPr>
          <w:sz w:val="24"/>
          <w:szCs w:val="24"/>
        </w:rPr>
        <w:t xml:space="preserve"> </w:t>
      </w:r>
      <w:r w:rsidRPr="00DC5063">
        <w:rPr>
          <w:rFonts w:eastAsia="Times New Roman" w:cstheme="minorHAnsi"/>
          <w:color w:val="000000"/>
          <w:kern w:val="36"/>
          <w:sz w:val="24"/>
          <w:szCs w:val="24"/>
          <w:lang w:eastAsia="en-GB"/>
        </w:rPr>
        <w:t>https://www.erudit.org/en/journals/ravon/1900-v1-n1-ravon1979/017438ar/) _Romanticism and Victorianism on the Net._48: November 2007.</w:t>
      </w:r>
    </w:p>
    <w:p w14:paraId="64305788" w14:textId="77777777" w:rsidR="00041652" w:rsidRPr="00DC5063" w:rsidRDefault="00041652" w:rsidP="00290AE9">
      <w:pPr>
        <w:pStyle w:val="FootnoteText"/>
        <w:rPr>
          <w:sz w:val="24"/>
          <w:szCs w:val="24"/>
        </w:rPr>
      </w:pPr>
    </w:p>
    <w:tbl>
      <w:tblPr>
        <w:tblW w:w="20940" w:type="dxa"/>
        <w:tblLook w:val="04A0" w:firstRow="1" w:lastRow="0" w:firstColumn="1" w:lastColumn="0" w:noHBand="0" w:noVBand="1"/>
      </w:tblPr>
      <w:tblGrid>
        <w:gridCol w:w="20940"/>
      </w:tblGrid>
      <w:tr w:rsidR="00EF35E5" w:rsidRPr="00DC5063" w14:paraId="0A0DCE18" w14:textId="77777777" w:rsidTr="0066354C">
        <w:trPr>
          <w:trHeight w:val="375"/>
        </w:trPr>
        <w:tc>
          <w:tcPr>
            <w:tcW w:w="20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1198" w14:textId="77777777" w:rsidR="00DC5063" w:rsidRPr="00DC5063" w:rsidRDefault="00DC5063" w:rsidP="0066354C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7350A8DC" w14:textId="179F81E6" w:rsidR="00EF35E5" w:rsidRPr="00DC5063" w:rsidRDefault="00EF35E5" w:rsidP="0066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DC5063">
              <w:rPr>
                <w:rFonts w:cstheme="minorHAnsi"/>
                <w:sz w:val="24"/>
                <w:szCs w:val="24"/>
              </w:rPr>
              <w:t xml:space="preserve">Collins, Philip. </w:t>
            </w:r>
            <w:r w:rsidR="00DC5063" w:rsidRPr="00DC5063">
              <w:rPr>
                <w:rFonts w:cstheme="minorHAnsi"/>
                <w:sz w:val="24"/>
                <w:szCs w:val="24"/>
              </w:rPr>
              <w:t>_</w:t>
            </w:r>
            <w:r w:rsidRPr="00DC50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Dickens: Interviews and Recollections. </w:t>
            </w:r>
            <w:r w:rsidR="00DC5063" w:rsidRPr="00DC50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2 vols_. Basingstoke: Palgrave, </w:t>
            </w:r>
            <w:r w:rsidRPr="00DC50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1981.</w:t>
            </w:r>
          </w:p>
          <w:p w14:paraId="4B892973" w14:textId="77777777" w:rsidR="00DC5063" w:rsidRPr="00DC5063" w:rsidRDefault="00DC5063" w:rsidP="0066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14:paraId="0481FE84" w14:textId="0A9AE505" w:rsidR="00EF35E5" w:rsidRPr="00DC5063" w:rsidRDefault="00EF35E5" w:rsidP="0066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</w:tbl>
    <w:p w14:paraId="3DDF537C" w14:textId="35212C63" w:rsidR="00DF3F8F" w:rsidRPr="00DC5063" w:rsidRDefault="00DF3F8F" w:rsidP="00DF3F8F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pacing w:val="-5"/>
          <w:sz w:val="24"/>
          <w:szCs w:val="24"/>
        </w:rPr>
      </w:pPr>
      <w:r w:rsidRPr="00DC5063">
        <w:rPr>
          <w:rFonts w:asciiTheme="minorHAnsi" w:hAnsiTheme="minorHAnsi" w:cstheme="minorHAnsi"/>
          <w:b w:val="0"/>
          <w:bCs w:val="0"/>
          <w:sz w:val="24"/>
          <w:szCs w:val="24"/>
        </w:rPr>
        <w:t>Curry, George. ‘Charles Dickens and Annie Fields’. _</w:t>
      </w:r>
      <w:r w:rsidRPr="00DC5063">
        <w:rPr>
          <w:rFonts w:asciiTheme="minorHAnsi" w:hAnsiTheme="minorHAnsi" w:cstheme="minorHAnsi"/>
          <w:b w:val="0"/>
          <w:bCs w:val="0"/>
          <w:spacing w:val="-5"/>
          <w:sz w:val="24"/>
          <w:szCs w:val="24"/>
        </w:rPr>
        <w:t>Huntington Library Quarterly_. 51:1 (Winter 1988). 1-71.</w:t>
      </w:r>
    </w:p>
    <w:p w14:paraId="54B0A9B4" w14:textId="2BEAF956" w:rsidR="00EF35E5" w:rsidRPr="00DC5063" w:rsidRDefault="00EF35E5" w:rsidP="00DF3F8F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pacing w:val="-5"/>
          <w:sz w:val="24"/>
          <w:szCs w:val="24"/>
        </w:rPr>
      </w:pPr>
    </w:p>
    <w:p w14:paraId="706C2B09" w14:textId="07F7AABF" w:rsidR="00EF35E5" w:rsidRPr="00DC5063" w:rsidRDefault="00EF35E5" w:rsidP="00DF3F8F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pacing w:val="-5"/>
          <w:sz w:val="24"/>
          <w:szCs w:val="24"/>
        </w:rPr>
      </w:pPr>
      <w:r w:rsidRPr="00DC5063">
        <w:rPr>
          <w:rFonts w:asciiTheme="minorHAnsi" w:hAnsiTheme="minorHAnsi" w:cstheme="minorHAnsi"/>
          <w:b w:val="0"/>
          <w:bCs w:val="0"/>
          <w:spacing w:val="-5"/>
          <w:sz w:val="24"/>
          <w:szCs w:val="24"/>
        </w:rPr>
        <w:t>Dolby, George. _Charles Dickens as I Knew Him_. Cambridge: Cambridge UP, 2012.</w:t>
      </w:r>
    </w:p>
    <w:p w14:paraId="435E0F3E" w14:textId="77777777" w:rsidR="00DC5063" w:rsidRPr="00DC5063" w:rsidRDefault="00DC5063" w:rsidP="00DF3F8F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pacing w:val="-5"/>
          <w:sz w:val="24"/>
          <w:szCs w:val="24"/>
        </w:rPr>
      </w:pPr>
    </w:p>
    <w:p w14:paraId="1EAA57D1" w14:textId="77777777" w:rsidR="00DC5063" w:rsidRPr="00DC5063" w:rsidRDefault="00DC5063" w:rsidP="00DC5063">
      <w:pPr>
        <w:pStyle w:val="FootnoteText"/>
        <w:rPr>
          <w:sz w:val="24"/>
          <w:szCs w:val="24"/>
        </w:rPr>
      </w:pPr>
      <w:r w:rsidRPr="00DC5063">
        <w:rPr>
          <w:sz w:val="24"/>
          <w:szCs w:val="24"/>
        </w:rPr>
        <w:t xml:space="preserve">Fitzgerald, Percy. _The Life of Charles Dickens as Revealed in His Writings_. 2 vols. London: </w:t>
      </w:r>
      <w:proofErr w:type="spellStart"/>
      <w:r w:rsidRPr="00DC5063">
        <w:rPr>
          <w:sz w:val="24"/>
          <w:szCs w:val="24"/>
        </w:rPr>
        <w:t>Chatto&amp;Windus</w:t>
      </w:r>
      <w:proofErr w:type="spellEnd"/>
      <w:r w:rsidRPr="00DC5063">
        <w:rPr>
          <w:sz w:val="24"/>
          <w:szCs w:val="24"/>
        </w:rPr>
        <w:t>, 1905.</w:t>
      </w:r>
    </w:p>
    <w:p w14:paraId="4BC9FAE1" w14:textId="77777777" w:rsidR="00DC5063" w:rsidRPr="00DC5063" w:rsidRDefault="00DC5063" w:rsidP="00DF3F8F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pacing w:val="-5"/>
          <w:sz w:val="24"/>
          <w:szCs w:val="24"/>
        </w:rPr>
      </w:pPr>
    </w:p>
    <w:p w14:paraId="06E5BD43" w14:textId="77777777" w:rsidR="00EF35E5" w:rsidRPr="00DC5063" w:rsidRDefault="00EF35E5" w:rsidP="00DF3F8F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pacing w:val="-5"/>
          <w:sz w:val="24"/>
          <w:szCs w:val="24"/>
        </w:rPr>
      </w:pPr>
    </w:p>
    <w:p w14:paraId="0B26B183" w14:textId="6674AD01" w:rsidR="00EF35E5" w:rsidRPr="00DC5063" w:rsidRDefault="00EF35E5" w:rsidP="00DF3F8F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pacing w:val="-5"/>
          <w:sz w:val="24"/>
          <w:szCs w:val="24"/>
        </w:rPr>
      </w:pPr>
      <w:proofErr w:type="spellStart"/>
      <w:r w:rsidRPr="00DC5063">
        <w:rPr>
          <w:rFonts w:ascii="Calibri" w:hAnsi="Calibri" w:cs="Calibri"/>
          <w:b w:val="0"/>
          <w:bCs w:val="0"/>
          <w:color w:val="000000"/>
          <w:sz w:val="24"/>
          <w:szCs w:val="24"/>
        </w:rPr>
        <w:lastRenderedPageBreak/>
        <w:t>Kitton</w:t>
      </w:r>
      <w:proofErr w:type="spellEnd"/>
      <w:r w:rsidRPr="00DC5063">
        <w:rPr>
          <w:rFonts w:ascii="Calibri" w:hAnsi="Calibri" w:cs="Calibri"/>
          <w:b w:val="0"/>
          <w:bCs w:val="0"/>
          <w:color w:val="000000"/>
          <w:sz w:val="24"/>
          <w:szCs w:val="24"/>
        </w:rPr>
        <w:t>, Frederic G.[_The Life of Charles Dickens, His Life, Writings and Personality_](</w:t>
      </w:r>
      <w:hyperlink r:id="rId8" w:history="1">
        <w:r w:rsidRPr="00DC5063">
          <w:rPr>
            <w:rStyle w:val="Hyperlink"/>
            <w:rFonts w:ascii="Calibri" w:hAnsi="Calibri" w:cs="Calibri"/>
            <w:b w:val="0"/>
            <w:bCs w:val="0"/>
            <w:sz w:val="24"/>
            <w:szCs w:val="24"/>
          </w:rPr>
          <w:t>https://www.google.co.uk/books/edition/The_Life_of_Charles_Dickens/YfKpCdOnvrMC?hl=en&amp;gbpv=1&amp;dq=HOlman+Hunt+Gad%27s+Charles+Dickens&amp;pg=PA294&amp;printsec=frontcover</w:t>
        </w:r>
      </w:hyperlink>
      <w:r w:rsidRPr="00DC5063">
        <w:rPr>
          <w:rFonts w:ascii="Calibri" w:hAnsi="Calibri" w:cs="Calibri"/>
          <w:b w:val="0"/>
          <w:bCs w:val="0"/>
          <w:sz w:val="24"/>
          <w:szCs w:val="24"/>
        </w:rPr>
        <w:t xml:space="preserve">). </w:t>
      </w:r>
      <w:proofErr w:type="spellStart"/>
      <w:r w:rsidRPr="00DC5063">
        <w:rPr>
          <w:rFonts w:ascii="Calibri" w:hAnsi="Calibri" w:cs="Calibri"/>
          <w:b w:val="0"/>
          <w:bCs w:val="0"/>
          <w:color w:val="000000"/>
          <w:sz w:val="24"/>
          <w:szCs w:val="24"/>
        </w:rPr>
        <w:t>Lexden</w:t>
      </w:r>
      <w:proofErr w:type="spellEnd"/>
      <w:r w:rsidRPr="00DC5063">
        <w:rPr>
          <w:rFonts w:ascii="Calibri" w:hAnsi="Calibri" w:cs="Calibri"/>
          <w:b w:val="0"/>
          <w:bCs w:val="0"/>
          <w:color w:val="000000"/>
          <w:sz w:val="24"/>
          <w:szCs w:val="24"/>
        </w:rPr>
        <w:t>, 2004.</w:t>
      </w:r>
    </w:p>
    <w:p w14:paraId="5BA7285C" w14:textId="77777777" w:rsidR="00BA2EE1" w:rsidRPr="00DC5063" w:rsidRDefault="00BA2EE1" w:rsidP="00DF3F8F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pacing w:val="-5"/>
          <w:sz w:val="24"/>
          <w:szCs w:val="24"/>
        </w:rPr>
      </w:pPr>
    </w:p>
    <w:p w14:paraId="4496B9FA" w14:textId="798AAD27" w:rsidR="00BA2EE1" w:rsidRPr="00DC5063" w:rsidRDefault="00BA2EE1" w:rsidP="00DF3F8F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pacing w:val="-5"/>
          <w:sz w:val="24"/>
          <w:szCs w:val="24"/>
        </w:rPr>
      </w:pPr>
      <w:proofErr w:type="spellStart"/>
      <w:r w:rsidRPr="00DC5063">
        <w:rPr>
          <w:rFonts w:asciiTheme="minorHAnsi" w:hAnsiTheme="minorHAnsi" w:cstheme="minorHAnsi"/>
          <w:b w:val="0"/>
          <w:bCs w:val="0"/>
          <w:spacing w:val="-5"/>
          <w:sz w:val="24"/>
          <w:szCs w:val="24"/>
        </w:rPr>
        <w:t>Litvack</w:t>
      </w:r>
      <w:proofErr w:type="spellEnd"/>
      <w:r w:rsidRPr="00DC5063">
        <w:rPr>
          <w:rFonts w:asciiTheme="minorHAnsi" w:hAnsiTheme="minorHAnsi" w:cstheme="minorHAnsi"/>
          <w:b w:val="0"/>
          <w:bCs w:val="0"/>
          <w:spacing w:val="-5"/>
          <w:sz w:val="24"/>
          <w:szCs w:val="24"/>
        </w:rPr>
        <w:t xml:space="preserve">, Leon. 'Dickens's Burial in Westminster Abbey: The Untold Story'. _Reading Dickens Differently_ ed Leon </w:t>
      </w:r>
      <w:proofErr w:type="spellStart"/>
      <w:r w:rsidRPr="00DC5063">
        <w:rPr>
          <w:rFonts w:asciiTheme="minorHAnsi" w:hAnsiTheme="minorHAnsi" w:cstheme="minorHAnsi"/>
          <w:b w:val="0"/>
          <w:bCs w:val="0"/>
          <w:spacing w:val="-5"/>
          <w:sz w:val="24"/>
          <w:szCs w:val="24"/>
        </w:rPr>
        <w:t>Litvack</w:t>
      </w:r>
      <w:proofErr w:type="spellEnd"/>
      <w:r w:rsidRPr="00DC5063">
        <w:rPr>
          <w:rFonts w:asciiTheme="minorHAnsi" w:hAnsiTheme="minorHAnsi" w:cstheme="minorHAnsi"/>
          <w:b w:val="0"/>
          <w:bCs w:val="0"/>
          <w:spacing w:val="-5"/>
          <w:sz w:val="24"/>
          <w:szCs w:val="24"/>
        </w:rPr>
        <w:t xml:space="preserve"> and </w:t>
      </w:r>
      <w:proofErr w:type="spellStart"/>
      <w:r w:rsidRPr="00DC5063">
        <w:rPr>
          <w:rFonts w:asciiTheme="minorHAnsi" w:hAnsiTheme="minorHAnsi" w:cstheme="minorHAnsi"/>
          <w:b w:val="0"/>
          <w:bCs w:val="0"/>
          <w:spacing w:val="-5"/>
          <w:sz w:val="24"/>
          <w:szCs w:val="24"/>
        </w:rPr>
        <w:t>and</w:t>
      </w:r>
      <w:proofErr w:type="spellEnd"/>
      <w:r w:rsidRPr="00DC5063">
        <w:rPr>
          <w:rFonts w:asciiTheme="minorHAnsi" w:hAnsiTheme="minorHAnsi" w:cstheme="minorHAnsi"/>
          <w:b w:val="0"/>
          <w:bCs w:val="0"/>
          <w:spacing w:val="-5"/>
          <w:sz w:val="24"/>
          <w:szCs w:val="24"/>
        </w:rPr>
        <w:t xml:space="preserve"> Nathalie </w:t>
      </w:r>
      <w:proofErr w:type="spellStart"/>
      <w:r w:rsidRPr="00DC5063">
        <w:rPr>
          <w:rFonts w:asciiTheme="minorHAnsi" w:hAnsiTheme="minorHAnsi" w:cstheme="minorHAnsi"/>
          <w:b w:val="0"/>
          <w:bCs w:val="0"/>
          <w:spacing w:val="-5"/>
          <w:sz w:val="24"/>
          <w:szCs w:val="24"/>
        </w:rPr>
        <w:t>Vanfasse</w:t>
      </w:r>
      <w:proofErr w:type="spellEnd"/>
      <w:r w:rsidRPr="00DC5063">
        <w:rPr>
          <w:rFonts w:asciiTheme="minorHAnsi" w:hAnsiTheme="minorHAnsi" w:cstheme="minorHAnsi"/>
          <w:b w:val="0"/>
          <w:bCs w:val="0"/>
          <w:spacing w:val="-5"/>
          <w:sz w:val="24"/>
          <w:szCs w:val="24"/>
        </w:rPr>
        <w:t>. Oxford: Wiley Blackwell 2020.</w:t>
      </w:r>
    </w:p>
    <w:p w14:paraId="6C5C726E" w14:textId="2F5B8460" w:rsidR="00DF3F8F" w:rsidRPr="00DC5063" w:rsidRDefault="00BA2EE1" w:rsidP="00290AE9">
      <w:pPr>
        <w:pStyle w:val="FootnoteText"/>
        <w:rPr>
          <w:rFonts w:cstheme="minorHAnsi"/>
          <w:spacing w:val="-5"/>
          <w:sz w:val="24"/>
          <w:szCs w:val="24"/>
        </w:rPr>
      </w:pPr>
      <w:r w:rsidRPr="00DC5063">
        <w:rPr>
          <w:rFonts w:cstheme="minorHAnsi"/>
          <w:spacing w:val="-5"/>
          <w:sz w:val="24"/>
          <w:szCs w:val="24"/>
        </w:rPr>
        <w:t>15-46.</w:t>
      </w:r>
    </w:p>
    <w:p w14:paraId="7D081875" w14:textId="77777777" w:rsidR="00BA2EE1" w:rsidRPr="00DC5063" w:rsidRDefault="00BA2EE1" w:rsidP="00290AE9">
      <w:pPr>
        <w:pStyle w:val="FootnoteText"/>
        <w:rPr>
          <w:sz w:val="24"/>
          <w:szCs w:val="24"/>
        </w:rPr>
      </w:pPr>
    </w:p>
    <w:p w14:paraId="4963D427" w14:textId="77777777" w:rsidR="00DC5063" w:rsidRPr="00DC5063" w:rsidRDefault="00DC5063" w:rsidP="00DC5063">
      <w:pPr>
        <w:pStyle w:val="FootnoteText"/>
        <w:rPr>
          <w:sz w:val="24"/>
          <w:szCs w:val="24"/>
        </w:rPr>
      </w:pPr>
      <w:proofErr w:type="spellStart"/>
      <w:r w:rsidRPr="00DC5063">
        <w:rPr>
          <w:sz w:val="24"/>
          <w:szCs w:val="24"/>
        </w:rPr>
        <w:t>Nayder</w:t>
      </w:r>
      <w:proofErr w:type="spellEnd"/>
      <w:r w:rsidRPr="00DC5063">
        <w:rPr>
          <w:sz w:val="24"/>
          <w:szCs w:val="24"/>
        </w:rPr>
        <w:t>, Lilian. _The Other Dickens: A Life of Catherine Hogarth_. Cornell: Cornell UP, 2012.</w:t>
      </w:r>
    </w:p>
    <w:p w14:paraId="37BE8A2A" w14:textId="77777777" w:rsidR="00DC5063" w:rsidRDefault="00DC5063" w:rsidP="00290AE9">
      <w:pPr>
        <w:pStyle w:val="FootnoteText"/>
        <w:rPr>
          <w:sz w:val="24"/>
          <w:szCs w:val="24"/>
        </w:rPr>
      </w:pPr>
    </w:p>
    <w:p w14:paraId="2830DD13" w14:textId="15CEC093" w:rsidR="00290AE9" w:rsidRPr="00DC5063" w:rsidRDefault="00290AE9" w:rsidP="00290AE9">
      <w:pPr>
        <w:pStyle w:val="FootnoteText"/>
        <w:rPr>
          <w:sz w:val="24"/>
          <w:szCs w:val="24"/>
        </w:rPr>
      </w:pPr>
      <w:r w:rsidRPr="00DC5063">
        <w:rPr>
          <w:sz w:val="24"/>
          <w:szCs w:val="24"/>
        </w:rPr>
        <w:t>Sala, G. A. [Dicken’s Life at Gadshill](</w:t>
      </w:r>
      <w:hyperlink r:id="rId9" w:history="1">
        <w:r w:rsidRPr="00DC5063">
          <w:rPr>
            <w:rStyle w:val="Hyperlink"/>
            <w:sz w:val="24"/>
            <w:szCs w:val="24"/>
          </w:rPr>
          <w:t>https://www.google.co.uk/books/edition/Pitman_s_Journal_of_Commercial_Education/U64UAAAAYAAJ?hl=en&amp;gbpv=1&amp;dq=%22G.+A.+SALA%22+AND+%22GAD%27S+HILL%22+AND++WILKIE&amp;pg=PA542&amp;printsec=frontcover</w:t>
        </w:r>
      </w:hyperlink>
      <w:r w:rsidRPr="00DC5063">
        <w:rPr>
          <w:sz w:val="24"/>
          <w:szCs w:val="24"/>
        </w:rPr>
        <w:t>). _The Phonetic Journal_ 26 August 1893. 542.</w:t>
      </w:r>
    </w:p>
    <w:p w14:paraId="60495DD7" w14:textId="77777777" w:rsidR="00EF35E5" w:rsidRPr="00DC5063" w:rsidRDefault="00EF35E5" w:rsidP="00EF35E5">
      <w:pPr>
        <w:shd w:val="clear" w:color="auto" w:fill="FFFFFF"/>
        <w:spacing w:after="0" w:line="540" w:lineRule="atLeast"/>
        <w:outlineLvl w:val="0"/>
        <w:rPr>
          <w:rFonts w:eastAsia="Times New Roman" w:cs="Calibri"/>
          <w:color w:val="0F1111"/>
          <w:kern w:val="36"/>
          <w:sz w:val="24"/>
          <w:szCs w:val="24"/>
          <w:lang w:eastAsia="en-GB"/>
        </w:rPr>
      </w:pPr>
      <w:r w:rsidRPr="00DC5063">
        <w:rPr>
          <w:rFonts w:eastAsia="Times New Roman" w:cs="Calibri"/>
          <w:color w:val="0F1111"/>
          <w:kern w:val="36"/>
          <w:sz w:val="24"/>
          <w:szCs w:val="24"/>
          <w:lang w:eastAsia="en-GB"/>
        </w:rPr>
        <w:t>Slater, Michael. _Charles Dickens_. Yale: Yale UP, 2009.</w:t>
      </w:r>
    </w:p>
    <w:p w14:paraId="17DD00C4" w14:textId="3469F784" w:rsidR="00EF35E5" w:rsidRPr="00EF35E5" w:rsidRDefault="00EF35E5" w:rsidP="00EF35E5">
      <w:pPr>
        <w:shd w:val="clear" w:color="auto" w:fill="FFFFFF"/>
        <w:spacing w:after="0" w:line="540" w:lineRule="atLeast"/>
        <w:outlineLvl w:val="0"/>
        <w:rPr>
          <w:rFonts w:eastAsia="Times New Roman" w:cs="Calibri"/>
          <w:color w:val="0F1111"/>
          <w:kern w:val="36"/>
          <w:sz w:val="24"/>
          <w:szCs w:val="24"/>
          <w:lang w:eastAsia="en-GB"/>
        </w:rPr>
      </w:pPr>
      <w:r w:rsidRPr="00EF35E5">
        <w:rPr>
          <w:rFonts w:eastAsia="Times New Roman" w:cs="Calibri"/>
          <w:color w:val="0F1111"/>
          <w:kern w:val="36"/>
          <w:sz w:val="24"/>
          <w:szCs w:val="24"/>
          <w:lang w:eastAsia="en-GB"/>
        </w:rPr>
        <w:t>Storey, Graham, Margaret Brown and Kathleen Tillotson, eds. _The Pilgrim Edition of the Letters of Charles Dickens_ Vol. 10: 1862-1864. Oxford: Clarendon, 1998.</w:t>
      </w:r>
    </w:p>
    <w:p w14:paraId="14732B8F" w14:textId="6D6A3FFD" w:rsidR="00EF35E5" w:rsidRPr="00EF35E5" w:rsidRDefault="00EF35E5" w:rsidP="00EF35E5">
      <w:pPr>
        <w:shd w:val="clear" w:color="auto" w:fill="FFFFFF"/>
        <w:spacing w:after="0" w:line="540" w:lineRule="atLeast"/>
        <w:outlineLvl w:val="0"/>
        <w:rPr>
          <w:rFonts w:eastAsia="Times New Roman" w:cs="Calibri"/>
          <w:color w:val="0F1111"/>
          <w:kern w:val="36"/>
          <w:sz w:val="24"/>
          <w:szCs w:val="24"/>
          <w:lang w:eastAsia="en-GB"/>
        </w:rPr>
      </w:pPr>
      <w:r w:rsidRPr="00EF35E5">
        <w:rPr>
          <w:rFonts w:eastAsia="Times New Roman" w:cs="Calibri"/>
          <w:color w:val="0F1111"/>
          <w:kern w:val="36"/>
          <w:sz w:val="24"/>
          <w:szCs w:val="24"/>
          <w:lang w:eastAsia="en-GB"/>
        </w:rPr>
        <w:t>--. _The Pilgrim Edition of the Letters of Charles Dickens_ Vol. 1</w:t>
      </w:r>
      <w:r w:rsidRPr="00DC5063">
        <w:rPr>
          <w:rFonts w:eastAsia="Times New Roman" w:cs="Calibri"/>
          <w:color w:val="0F1111"/>
          <w:kern w:val="36"/>
          <w:sz w:val="24"/>
          <w:szCs w:val="24"/>
          <w:lang w:eastAsia="en-GB"/>
        </w:rPr>
        <w:t>2</w:t>
      </w:r>
      <w:r w:rsidRPr="00EF35E5">
        <w:rPr>
          <w:rFonts w:eastAsia="Times New Roman" w:cs="Calibri"/>
          <w:color w:val="0F1111"/>
          <w:kern w:val="36"/>
          <w:sz w:val="24"/>
          <w:szCs w:val="24"/>
          <w:lang w:eastAsia="en-GB"/>
        </w:rPr>
        <w:t>: 186</w:t>
      </w:r>
      <w:r w:rsidRPr="00DC5063">
        <w:rPr>
          <w:rFonts w:eastAsia="Times New Roman" w:cs="Calibri"/>
          <w:color w:val="0F1111"/>
          <w:kern w:val="36"/>
          <w:sz w:val="24"/>
          <w:szCs w:val="24"/>
          <w:lang w:eastAsia="en-GB"/>
        </w:rPr>
        <w:t>8</w:t>
      </w:r>
      <w:r w:rsidRPr="00EF35E5">
        <w:rPr>
          <w:rFonts w:eastAsia="Times New Roman" w:cs="Calibri"/>
          <w:color w:val="0F1111"/>
          <w:kern w:val="36"/>
          <w:sz w:val="24"/>
          <w:szCs w:val="24"/>
          <w:lang w:eastAsia="en-GB"/>
        </w:rPr>
        <w:t>-7</w:t>
      </w:r>
      <w:r w:rsidRPr="00DC5063">
        <w:rPr>
          <w:rFonts w:eastAsia="Times New Roman" w:cs="Calibri"/>
          <w:color w:val="0F1111"/>
          <w:kern w:val="36"/>
          <w:sz w:val="24"/>
          <w:szCs w:val="24"/>
          <w:lang w:eastAsia="en-GB"/>
        </w:rPr>
        <w:t>0</w:t>
      </w:r>
      <w:r w:rsidRPr="00EF35E5">
        <w:rPr>
          <w:rFonts w:eastAsia="Times New Roman" w:cs="Calibri"/>
          <w:color w:val="0F1111"/>
          <w:kern w:val="36"/>
          <w:sz w:val="24"/>
          <w:szCs w:val="24"/>
          <w:lang w:eastAsia="en-GB"/>
        </w:rPr>
        <w:t xml:space="preserve">. Oxford: Clarendon, </w:t>
      </w:r>
      <w:r w:rsidRPr="00DC5063">
        <w:rPr>
          <w:rFonts w:eastAsia="Times New Roman" w:cs="Calibri"/>
          <w:color w:val="0F1111"/>
          <w:kern w:val="36"/>
          <w:sz w:val="24"/>
          <w:szCs w:val="24"/>
          <w:lang w:eastAsia="en-GB"/>
        </w:rPr>
        <w:t>2002</w:t>
      </w:r>
      <w:r w:rsidRPr="00EF35E5">
        <w:rPr>
          <w:rFonts w:eastAsia="Times New Roman" w:cs="Calibri"/>
          <w:color w:val="0F1111"/>
          <w:kern w:val="36"/>
          <w:sz w:val="24"/>
          <w:szCs w:val="24"/>
          <w:lang w:eastAsia="en-GB"/>
        </w:rPr>
        <w:t>.</w:t>
      </w:r>
    </w:p>
    <w:p w14:paraId="215AC3F3" w14:textId="77777777" w:rsidR="00EF35E5" w:rsidRPr="00EF35E5" w:rsidRDefault="00EF35E5" w:rsidP="00EF35E5">
      <w:pPr>
        <w:rPr>
          <w:rFonts w:eastAsia="Times New Roman" w:cs="Calibri"/>
          <w:sz w:val="24"/>
          <w:szCs w:val="24"/>
        </w:rPr>
      </w:pPr>
    </w:p>
    <w:tbl>
      <w:tblPr>
        <w:tblW w:w="20940" w:type="dxa"/>
        <w:tblLook w:val="04A0" w:firstRow="1" w:lastRow="0" w:firstColumn="1" w:lastColumn="0" w:noHBand="0" w:noVBand="1"/>
      </w:tblPr>
      <w:tblGrid>
        <w:gridCol w:w="20940"/>
      </w:tblGrid>
      <w:tr w:rsidR="00F32314" w:rsidRPr="00F32314" w14:paraId="1BDDF262" w14:textId="77777777" w:rsidTr="00F32314">
        <w:trPr>
          <w:trHeight w:val="375"/>
        </w:trPr>
        <w:tc>
          <w:tcPr>
            <w:tcW w:w="20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F7E1" w14:textId="77777777" w:rsidR="00F32314" w:rsidRDefault="00EF35E5" w:rsidP="00EF35E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C5063">
              <w:rPr>
                <w:rFonts w:eastAsia="Times New Roman" w:cs="Times New Roman"/>
                <w:sz w:val="24"/>
                <w:szCs w:val="24"/>
              </w:rPr>
              <w:t xml:space="preserve">Tomalin, Claire. _The Invisible Woman: </w:t>
            </w:r>
            <w:proofErr w:type="gramStart"/>
            <w:r w:rsidRPr="00DC5063">
              <w:rPr>
                <w:rFonts w:eastAsia="Times New Roman" w:cs="Times New Roman"/>
                <w:sz w:val="24"/>
                <w:szCs w:val="24"/>
              </w:rPr>
              <w:t>the</w:t>
            </w:r>
            <w:proofErr w:type="gramEnd"/>
            <w:r w:rsidRPr="00DC5063">
              <w:rPr>
                <w:rFonts w:eastAsia="Times New Roman" w:cs="Times New Roman"/>
                <w:sz w:val="24"/>
                <w:szCs w:val="24"/>
              </w:rPr>
              <w:t xml:space="preserve"> Story of Nelly </w:t>
            </w:r>
            <w:proofErr w:type="spellStart"/>
            <w:r w:rsidRPr="00DC5063">
              <w:rPr>
                <w:rFonts w:eastAsia="Times New Roman" w:cs="Times New Roman"/>
                <w:sz w:val="24"/>
                <w:szCs w:val="24"/>
              </w:rPr>
              <w:t>Ternan</w:t>
            </w:r>
            <w:proofErr w:type="spellEnd"/>
            <w:r w:rsidRPr="00DC5063">
              <w:rPr>
                <w:rFonts w:eastAsia="Times New Roman" w:cs="Times New Roman"/>
                <w:sz w:val="24"/>
                <w:szCs w:val="24"/>
              </w:rPr>
              <w:t xml:space="preserve"> and Charles Dickens_. London: Penguin Reprint Edition, 2012.</w:t>
            </w:r>
            <w:r w:rsidR="00DC5063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14:paraId="397D6D7C" w14:textId="325C4438" w:rsidR="00DC5063" w:rsidRPr="00F32314" w:rsidRDefault="00DC5063" w:rsidP="00EF3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eastAsia="en-GB"/>
              </w:rPr>
            </w:pPr>
          </w:p>
        </w:tc>
      </w:tr>
    </w:tbl>
    <w:p w14:paraId="00EAD002" w14:textId="77777777" w:rsidR="00F32314" w:rsidRPr="00F32314" w:rsidRDefault="00F32314" w:rsidP="00F3231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</w:p>
    <w:p w14:paraId="21C060D4" w14:textId="6C4F6B39" w:rsidR="001B04E4" w:rsidRDefault="001B04E4" w:rsidP="00290AE9">
      <w:pPr>
        <w:pStyle w:val="FootnoteText"/>
        <w:rPr>
          <w:sz w:val="24"/>
          <w:szCs w:val="24"/>
        </w:rPr>
      </w:pPr>
    </w:p>
    <w:p w14:paraId="1DC3C526" w14:textId="6BC50462" w:rsidR="001B04E4" w:rsidRPr="001B04E4" w:rsidRDefault="00F32314" w:rsidP="001B04E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Trotter, David. </w:t>
      </w:r>
      <w:r w:rsidRPr="001B04E4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'Dickens and Frith.' </w:t>
      </w: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_</w:t>
      </w:r>
      <w:r w:rsidR="001B04E4" w:rsidRPr="001B04E4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William Powell Frith: Painting the Victorian </w:t>
      </w:r>
      <w:proofErr w:type="gramStart"/>
      <w:r w:rsidR="001B04E4" w:rsidRPr="001B04E4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Age.</w:t>
      </w: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_</w:t>
      </w:r>
      <w:proofErr w:type="gramEnd"/>
      <w:r w:rsidR="001B04E4" w:rsidRPr="001B04E4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Ed. Mark Bills. </w:t>
      </w: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Yale: </w:t>
      </w:r>
      <w:r w:rsidR="001B04E4" w:rsidRPr="001B04E4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Yale UP, 2006. 2-40.</w:t>
      </w:r>
    </w:p>
    <w:p w14:paraId="3DD14B1D" w14:textId="77777777" w:rsidR="001B04E4" w:rsidRDefault="001B04E4" w:rsidP="00290AE9">
      <w:pPr>
        <w:pStyle w:val="FootnoteText"/>
        <w:rPr>
          <w:sz w:val="24"/>
          <w:szCs w:val="24"/>
        </w:rPr>
      </w:pPr>
    </w:p>
    <w:p w14:paraId="0A15F30B" w14:textId="77777777" w:rsidR="001B04E4" w:rsidRDefault="001B04E4" w:rsidP="00290AE9">
      <w:pPr>
        <w:pStyle w:val="FootnoteText"/>
        <w:rPr>
          <w:sz w:val="24"/>
          <w:szCs w:val="24"/>
        </w:rPr>
      </w:pPr>
    </w:p>
    <w:p w14:paraId="102849DB" w14:textId="77777777" w:rsidR="00BA2EE1" w:rsidRPr="007C11EE" w:rsidRDefault="00BA2EE1" w:rsidP="00BA2EE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</w:rPr>
      </w:pPr>
      <w:r w:rsidRPr="007C11EE">
        <w:rPr>
          <w:rFonts w:asciiTheme="minorHAnsi" w:hAnsiTheme="minorHAnsi" w:cstheme="minorHAnsi"/>
          <w:b w:val="0"/>
          <w:sz w:val="24"/>
          <w:szCs w:val="24"/>
        </w:rPr>
        <w:t>Yates, Edmund. [</w:t>
      </w:r>
      <w:r>
        <w:rPr>
          <w:rFonts w:asciiTheme="minorHAnsi" w:hAnsiTheme="minorHAnsi" w:cstheme="minorHAnsi"/>
          <w:b w:val="0"/>
          <w:sz w:val="24"/>
          <w:szCs w:val="24"/>
        </w:rPr>
        <w:t>_</w:t>
      </w:r>
      <w:r w:rsidRPr="007C11EE">
        <w:rPr>
          <w:rFonts w:asciiTheme="minorHAnsi" w:hAnsiTheme="minorHAnsi" w:cstheme="minorHAnsi"/>
          <w:b w:val="0"/>
          <w:color w:val="333333"/>
          <w:sz w:val="24"/>
          <w:szCs w:val="24"/>
        </w:rPr>
        <w:t>Memoirs of a Man of the World: 1831-75.</w:t>
      </w:r>
      <w:r>
        <w:rPr>
          <w:rFonts w:asciiTheme="minorHAnsi" w:hAnsiTheme="minorHAnsi" w:cstheme="minorHAnsi"/>
          <w:b w:val="0"/>
          <w:color w:val="333333"/>
          <w:sz w:val="24"/>
          <w:szCs w:val="24"/>
        </w:rPr>
        <w:t>_</w:t>
      </w:r>
      <w:r w:rsidRPr="007C11EE">
        <w:rPr>
          <w:rFonts w:asciiTheme="minorHAnsi" w:hAnsiTheme="minorHAnsi" w:cstheme="minorHAnsi"/>
          <w:b w:val="0"/>
          <w:color w:val="333333"/>
          <w:sz w:val="24"/>
          <w:szCs w:val="24"/>
        </w:rPr>
        <w:t>]</w:t>
      </w:r>
      <w:r w:rsidRPr="007C11EE">
        <w:rPr>
          <w:rFonts w:asciiTheme="minorHAnsi" w:hAnsiTheme="minorHAnsi" w:cstheme="minorHAnsi"/>
          <w:b w:val="0"/>
          <w:sz w:val="24"/>
          <w:szCs w:val="24"/>
        </w:rPr>
        <w:t>(</w:t>
      </w:r>
      <w:hyperlink r:id="rId10" w:anchor="v=onepage&amp;q=VISIT%20GADSHILL&amp;f=false" w:history="1">
        <w:r w:rsidRPr="007C11EE">
          <w:rPr>
            <w:rStyle w:val="Hyperlink"/>
            <w:rFonts w:asciiTheme="minorHAnsi" w:hAnsiTheme="minorHAnsi" w:cstheme="minorHAnsi"/>
            <w:b w:val="0"/>
            <w:sz w:val="24"/>
            <w:szCs w:val="24"/>
          </w:rPr>
          <w:t>https://books.google.co.uk/books?id=wYyEcmymMBwC&amp;newbks=0&amp;printsec=frontcover&amp;pg=PR14&amp;dq=VISIT+GADSHILL&amp;hl=en&amp;redir_esc=y#v=onepage&amp;q=VISIT%20GADSHILL&amp;f=false</w:t>
        </w:r>
      </w:hyperlink>
      <w:r w:rsidRPr="007C11EE">
        <w:rPr>
          <w:rFonts w:asciiTheme="minorHAnsi" w:hAnsiTheme="minorHAnsi" w:cstheme="minorHAnsi"/>
          <w:b w:val="0"/>
          <w:sz w:val="24"/>
          <w:szCs w:val="24"/>
        </w:rPr>
        <w:t>)</w:t>
      </w:r>
      <w:r>
        <w:rPr>
          <w:rFonts w:asciiTheme="minorHAnsi" w:hAnsiTheme="minorHAnsi" w:cstheme="minorHAnsi"/>
          <w:b w:val="0"/>
          <w:sz w:val="24"/>
          <w:szCs w:val="24"/>
        </w:rPr>
        <w:t>. New York: Harper Brothers, 1885.</w:t>
      </w:r>
    </w:p>
    <w:p w14:paraId="6C6C41E1" w14:textId="77777777" w:rsidR="00BA2EE1" w:rsidRPr="00F601BD" w:rsidRDefault="00BA2EE1" w:rsidP="00290AE9">
      <w:pPr>
        <w:pStyle w:val="FootnoteText"/>
        <w:rPr>
          <w:sz w:val="24"/>
          <w:szCs w:val="24"/>
        </w:rPr>
      </w:pPr>
    </w:p>
    <w:p w14:paraId="2745486A" w14:textId="77777777" w:rsidR="00290AE9" w:rsidRPr="00F601BD" w:rsidRDefault="00290AE9" w:rsidP="00836FFA">
      <w:pPr>
        <w:spacing w:line="360" w:lineRule="auto"/>
        <w:rPr>
          <w:sz w:val="24"/>
          <w:szCs w:val="24"/>
        </w:rPr>
      </w:pPr>
    </w:p>
    <w:sectPr w:rsidR="00290AE9" w:rsidRPr="00F60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29733" w14:textId="77777777" w:rsidR="0026649E" w:rsidRDefault="0026649E" w:rsidP="00836FFA">
      <w:pPr>
        <w:spacing w:after="0" w:line="240" w:lineRule="auto"/>
      </w:pPr>
      <w:r>
        <w:separator/>
      </w:r>
    </w:p>
  </w:endnote>
  <w:endnote w:type="continuationSeparator" w:id="0">
    <w:p w14:paraId="2204A8A6" w14:textId="77777777" w:rsidR="0026649E" w:rsidRDefault="0026649E" w:rsidP="00836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91613" w14:textId="77777777" w:rsidR="0026649E" w:rsidRDefault="0026649E" w:rsidP="00836FFA">
      <w:pPr>
        <w:spacing w:after="0" w:line="240" w:lineRule="auto"/>
      </w:pPr>
      <w:r>
        <w:separator/>
      </w:r>
    </w:p>
  </w:footnote>
  <w:footnote w:type="continuationSeparator" w:id="0">
    <w:p w14:paraId="0B263FDF" w14:textId="77777777" w:rsidR="0026649E" w:rsidRDefault="0026649E" w:rsidP="00836FFA">
      <w:pPr>
        <w:spacing w:after="0" w:line="240" w:lineRule="auto"/>
      </w:pPr>
      <w:r>
        <w:continuationSeparator/>
      </w:r>
    </w:p>
  </w:footnote>
  <w:footnote w:id="1">
    <w:p w14:paraId="375B48F8" w14:textId="00EB9619" w:rsidR="00041652" w:rsidRDefault="00041652">
      <w:pPr>
        <w:pStyle w:val="FootnoteText"/>
      </w:pPr>
      <w:r>
        <w:rPr>
          <w:rStyle w:val="FootnoteReference"/>
        </w:rPr>
        <w:footnoteRef/>
      </w:r>
      <w:r>
        <w:t xml:space="preserve"> Booth para 14.</w:t>
      </w:r>
    </w:p>
  </w:footnote>
  <w:footnote w:id="2">
    <w:p w14:paraId="252DE89A" w14:textId="77777777" w:rsidR="00987E40" w:rsidRDefault="00987E40" w:rsidP="00987E40">
      <w:pPr>
        <w:pStyle w:val="FootnoteText"/>
      </w:pPr>
      <w:r>
        <w:rPr>
          <w:rStyle w:val="FootnoteReference"/>
        </w:rPr>
        <w:footnoteRef/>
      </w:r>
      <w:r>
        <w:t xml:space="preserve"> I need to find a source for this!</w:t>
      </w:r>
    </w:p>
  </w:footnote>
  <w:footnote w:id="3">
    <w:p w14:paraId="6D411C62" w14:textId="77777777" w:rsidR="00987E40" w:rsidRDefault="00987E40" w:rsidP="00987E40">
      <w:pPr>
        <w:pStyle w:val="FootnoteText"/>
      </w:pPr>
      <w:r>
        <w:rPr>
          <w:rStyle w:val="FootnoteReference"/>
        </w:rPr>
        <w:footnoteRef/>
      </w:r>
      <w:r>
        <w:t xml:space="preserve"> Andersen 31.</w:t>
      </w:r>
    </w:p>
  </w:footnote>
  <w:footnote w:id="4">
    <w:p w14:paraId="43D1569B" w14:textId="2B3D0856" w:rsidR="00290AE9" w:rsidRDefault="00290AE9">
      <w:pPr>
        <w:pStyle w:val="FootnoteText"/>
      </w:pPr>
      <w:r>
        <w:rPr>
          <w:rStyle w:val="FootnoteReference"/>
        </w:rPr>
        <w:footnoteRef/>
      </w:r>
      <w:r>
        <w:t xml:space="preserve"> [Dicken’s Life at Gadshill](</w:t>
      </w:r>
      <w:hyperlink r:id="rId1" w:history="1">
        <w:r w:rsidRPr="001278C7">
          <w:rPr>
            <w:rStyle w:val="Hyperlink"/>
          </w:rPr>
          <w:t>https://www.google.co.uk/books/edition/Pitman_s_Journal_of_Commercial_Education/U64UAAAAYAAJ?hl=en&amp;gbpv=1&amp;dq=%22G.+A.+SALA%22+AND+%22GAD%27S+HILL%22+AND++WILKIE&amp;pg=PA542&amp;printsec=frontcover</w:t>
        </w:r>
      </w:hyperlink>
      <w:r>
        <w:t>).</w:t>
      </w:r>
    </w:p>
  </w:footnote>
  <w:footnote w:id="5">
    <w:p w14:paraId="0D17730C" w14:textId="52CF97FD" w:rsidR="00665288" w:rsidRDefault="00665288">
      <w:pPr>
        <w:pStyle w:val="FootnoteText"/>
      </w:pPr>
      <w:r>
        <w:rPr>
          <w:rStyle w:val="FootnoteReference"/>
        </w:rPr>
        <w:footnoteRef/>
      </w:r>
      <w:r>
        <w:t xml:space="preserve"> See [‘Mobile Landscapes</w:t>
      </w:r>
      <w:proofErr w:type="gramStart"/>
      <w:r>
        <w:t>’](</w:t>
      </w:r>
      <w:proofErr w:type="gramEnd"/>
      <w:r w:rsidRPr="00665288">
        <w:t>/dickens/mobile-landscapes</w:t>
      </w:r>
      <w:r>
        <w:t>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4A"/>
    <w:rsid w:val="000134ED"/>
    <w:rsid w:val="00041652"/>
    <w:rsid w:val="000F493F"/>
    <w:rsid w:val="0015258D"/>
    <w:rsid w:val="001B04E4"/>
    <w:rsid w:val="001D4706"/>
    <w:rsid w:val="001F0DA8"/>
    <w:rsid w:val="002211E2"/>
    <w:rsid w:val="00243841"/>
    <w:rsid w:val="0026649E"/>
    <w:rsid w:val="00290AE9"/>
    <w:rsid w:val="002B33D0"/>
    <w:rsid w:val="002F33BE"/>
    <w:rsid w:val="00403A91"/>
    <w:rsid w:val="004438FA"/>
    <w:rsid w:val="005055D7"/>
    <w:rsid w:val="0054100B"/>
    <w:rsid w:val="00560D80"/>
    <w:rsid w:val="00631FC7"/>
    <w:rsid w:val="00665288"/>
    <w:rsid w:val="0069793C"/>
    <w:rsid w:val="006A185F"/>
    <w:rsid w:val="006F6B6D"/>
    <w:rsid w:val="00777D2F"/>
    <w:rsid w:val="0079004A"/>
    <w:rsid w:val="007C11EE"/>
    <w:rsid w:val="007D0212"/>
    <w:rsid w:val="00800F1C"/>
    <w:rsid w:val="008248B4"/>
    <w:rsid w:val="00836FFA"/>
    <w:rsid w:val="008A0479"/>
    <w:rsid w:val="008A0F2A"/>
    <w:rsid w:val="00987E40"/>
    <w:rsid w:val="00A01E90"/>
    <w:rsid w:val="00A25C30"/>
    <w:rsid w:val="00A2794F"/>
    <w:rsid w:val="00AA7FA5"/>
    <w:rsid w:val="00B15E40"/>
    <w:rsid w:val="00B15E48"/>
    <w:rsid w:val="00B2423D"/>
    <w:rsid w:val="00BA2EE1"/>
    <w:rsid w:val="00BE1308"/>
    <w:rsid w:val="00C17186"/>
    <w:rsid w:val="00C36A00"/>
    <w:rsid w:val="00D0548D"/>
    <w:rsid w:val="00D22B5E"/>
    <w:rsid w:val="00D36954"/>
    <w:rsid w:val="00D913DB"/>
    <w:rsid w:val="00DA2195"/>
    <w:rsid w:val="00DA4451"/>
    <w:rsid w:val="00DC5063"/>
    <w:rsid w:val="00DD254D"/>
    <w:rsid w:val="00DF3F8F"/>
    <w:rsid w:val="00EF35E5"/>
    <w:rsid w:val="00EF70FA"/>
    <w:rsid w:val="00F32314"/>
    <w:rsid w:val="00F601BD"/>
    <w:rsid w:val="00FC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2E07"/>
  <w15:chartTrackingRefBased/>
  <w15:docId w15:val="{86C00CDD-FCA6-4CFE-85F1-6D445EBB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3F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15258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2423D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836F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36F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6FF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290AE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F3F8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F35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5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6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2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uk/books/edition/The_Life_of_Charles_Dickens/YfKpCdOnvrMC?hl=en&amp;gbpv=1&amp;dq=HOlman+Hunt+Gad%27s+Charles+Dickens&amp;pg=PA294&amp;printsec=frontco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ks.google.co.uk/books?id=0j88AQAAMAAJ&amp;newbks=0&amp;printsec=frontcover&amp;pg=PA28&amp;dq=VISIT+GADSHILL&amp;hl=en&amp;redir_esc=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ooks.google.co.uk/books?id=wYyEcmymMBwC&amp;newbks=0&amp;printsec=frontcover&amp;pg=PR14&amp;dq=VISIT+GADSHILL&amp;hl=en&amp;redir_esc=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.uk/books/edition/Pitman_s_Journal_of_Commercial_Education/U64UAAAAYAAJ?hl=en&amp;gbpv=1&amp;dq=%22G.+A.+SALA%22+AND+%22GAD%27S+HILL%22+AND++WILKIE&amp;pg=PA542&amp;printsec=frontcover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oogle.co.uk/books/edition/Pitman_s_Journal_of_Commercial_Education/U64UAAAAYAAJ?hl=en&amp;gbpv=1&amp;dq=%22G.+A.+SALA%22+AND+%22GAD%27S+HILL%22+AND++WILKIE&amp;pg=PA542&amp;printsec=frontco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BB7689A-9B2A-4D6C-95BD-BB8190E9C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CAMPBELL</dc:creator>
  <cp:keywords/>
  <dc:description/>
  <cp:lastModifiedBy>Carolyn Oulton</cp:lastModifiedBy>
  <cp:revision>3</cp:revision>
  <dcterms:created xsi:type="dcterms:W3CDTF">2022-09-06T21:16:00Z</dcterms:created>
  <dcterms:modified xsi:type="dcterms:W3CDTF">2022-09-06T21:17:00Z</dcterms:modified>
</cp:coreProperties>
</file>