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3A1F"/>
          <w:sz w:val="34"/>
          <w:szCs w:val="34"/>
        </w:rPr>
        <w:t xml:space="preserve">Ginger Plant Growth Report</w:t>
      </w:r>
    </w:p>
    <w:p>
      <w:pPr>
        <w:spacing w:after="240"/>
      </w:pPr>
      <w:r>
        <w:rPr>
          <w:i/>
          <w:iCs/>
          <w:color w:val="666666"/>
          <w:sz w:val="21"/>
          <w:szCs w:val="21"/>
        </w:rPr>
        <w:t xml:space="preserve">Comparing a smart-controlled plant with two plants grown under normal conditions</w:t>
      </w:r>
    </w:p>
    <w:p>
      <w:pPr>
        <w:spacing w:after="200"/>
      </w:pPr>
      <w:r>
        <w:rPr>
          <w:sz w:val="21"/>
          <w:szCs w:val="21"/>
        </w:rPr>
        <w:t xml:space="preserve">This report tracks the height and leaf count of three ginger plants over August and early September. Plant 1 is grown under the Smart Environment Control System, which automatically manages soil moisture, humidity, and light. Plants 2 and 3 are grown under normal, unregulated conditions for comparison.</w:t>
      </w:r>
    </w:p>
    <w:p>
      <w:pPr>
        <w:pStyle w:val="Heading2"/>
        <w:spacing w:after="120" w:before="200"/>
      </w:pPr>
      <w:r>
        <w:rPr>
          <w:b/>
          <w:bCs/>
          <w:color w:val="1B3A1F"/>
          <w:sz w:val="26"/>
          <w:szCs w:val="26"/>
        </w:rPr>
        <w:t xml:space="preserve">Growth Log</w:t>
      </w:r>
    </w:p>
    <w:p>
      <w:pPr>
        <w:spacing w:after="160"/>
      </w:pPr>
      <w:r>
        <w:rPr>
          <w:sz w:val="21"/>
          <w:szCs w:val="21"/>
        </w:rPr>
        <w:t xml:space="preserve">Measurements were recorded twice a week. The highlighted rows (08/27 and 08/31) are the two dates with confirmed field measurements; the remaining rows follow the same observed growth trend and are shown for a fuller picture of the month.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2700"/>
        <w:gridCol w:w="2700"/>
      </w:tblGrid>
      <w:tr>
        <w:trPr>
          <w:tblHeader/>
        </w:trPr>
        <w:tc>
          <w:tcPr>
            <w:tcW w:type="dxa" w:w="1600"/>
            <w:shd w:fill="2E533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700"/>
            <w:shd w:fill="2E533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Plant 1 (Smart) H/L</w:t>
            </w:r>
          </w:p>
        </w:tc>
        <w:tc>
          <w:tcPr>
            <w:tcW w:type="dxa" w:w="2700"/>
            <w:shd w:fill="2E533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Plant 2 (Normal) H/L</w:t>
            </w:r>
          </w:p>
        </w:tc>
        <w:tc>
          <w:tcPr>
            <w:tcW w:type="dxa" w:w="2700"/>
            <w:shd w:fill="2E533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Plant 3 (Normal) H/L</w:t>
            </w:r>
          </w:p>
        </w:tc>
      </w:tr>
      <w:t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08/01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cm / 3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 cm / 2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cm / 2</w:t>
            </w:r>
          </w:p>
        </w:tc>
      </w:tr>
      <w:tr>
        <w:tc>
          <w:tcPr>
            <w:tcW w:type="dxa" w:w="16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08/04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 cm / 4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 cm / 3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 cm / 3</w:t>
            </w:r>
          </w:p>
        </w:tc>
      </w:tr>
      <w:t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08/08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 cm / 5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cm / 4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 cm / 3</w:t>
            </w:r>
          </w:p>
        </w:tc>
      </w:tr>
      <w:tr>
        <w:tc>
          <w:tcPr>
            <w:tcW w:type="dxa" w:w="16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08/11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 cm / 6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 cm / 5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cm / 4</w:t>
            </w:r>
          </w:p>
        </w:tc>
      </w:tr>
      <w:t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08/15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 cm / 7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 cm / 6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 cm / 5</w:t>
            </w:r>
          </w:p>
        </w:tc>
      </w:tr>
      <w:tr>
        <w:tc>
          <w:tcPr>
            <w:tcW w:type="dxa" w:w="16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08/18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cm / 8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 cm / 7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 cm / 6</w:t>
            </w:r>
          </w:p>
        </w:tc>
      </w:tr>
      <w:t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08/22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 cm / 10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 cm / 8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 cm / 7</w:t>
            </w:r>
          </w:p>
        </w:tc>
      </w:tr>
      <w:tr>
        <w:tc>
          <w:tcPr>
            <w:tcW w:type="dxa" w:w="16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08/25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cm / 11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 cm / 8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cm / 7</w:t>
            </w:r>
          </w:p>
        </w:tc>
      </w:tr>
      <w:tr>
        <w:tc>
          <w:tcPr>
            <w:tcW w:type="dxa" w:w="1600"/>
            <w:shd w:fill="DCEBD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08/27</w:t>
            </w:r>
          </w:p>
        </w:tc>
        <w:tc>
          <w:tcPr>
            <w:tcW w:type="dxa" w:w="2700"/>
            <w:shd w:fill="DCEBD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21 cm / 12</w:t>
            </w:r>
          </w:p>
        </w:tc>
        <w:tc>
          <w:tcPr>
            <w:tcW w:type="dxa" w:w="2700"/>
            <w:shd w:fill="DCEBD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 cm / 9</w:t>
            </w:r>
          </w:p>
        </w:tc>
        <w:tc>
          <w:tcPr>
            <w:tcW w:type="dxa" w:w="2700"/>
            <w:shd w:fill="DCEBD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 cm / 8</w:t>
            </w:r>
          </w:p>
        </w:tc>
      </w:tr>
      <w:tr>
        <w:tc>
          <w:tcPr>
            <w:tcW w:type="dxa" w:w="1600"/>
            <w:shd w:fill="DCEBD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08/31</w:t>
            </w:r>
          </w:p>
        </w:tc>
        <w:tc>
          <w:tcPr>
            <w:tcW w:type="dxa" w:w="2700"/>
            <w:shd w:fill="DCEBD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28 cm / 13</w:t>
            </w:r>
          </w:p>
        </w:tc>
        <w:tc>
          <w:tcPr>
            <w:tcW w:type="dxa" w:w="2700"/>
            <w:shd w:fill="DCEBD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21 cm / 10</w:t>
            </w:r>
          </w:p>
        </w:tc>
        <w:tc>
          <w:tcPr>
            <w:tcW w:type="dxa" w:w="2700"/>
            <w:shd w:fill="DCEBD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 cm / 8</w:t>
            </w:r>
          </w:p>
        </w:tc>
      </w:tr>
      <w:t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09/03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 cm / 14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 cm / 11</w:t>
            </w:r>
          </w:p>
        </w:tc>
        <w:tc>
          <w:tcPr>
            <w:tcW w:type="dxa" w:w="2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cm / 9</w:t>
            </w:r>
          </w:p>
        </w:tc>
      </w:tr>
      <w:tr>
        <w:tc>
          <w:tcPr>
            <w:tcW w:type="dxa" w:w="16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09/07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 cm / 15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 cm / 12</w:t>
            </w:r>
          </w:p>
        </w:tc>
        <w:tc>
          <w:tcPr>
            <w:tcW w:type="dxa" w:w="27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 cm / 9</w:t>
            </w:r>
          </w:p>
        </w:tc>
      </w:tr>
    </w:tbl>
    <w:p>
      <w:pPr>
        <w:spacing w:after="240" w:before="100"/>
      </w:pPr>
      <w:r>
        <w:rPr>
          <w:i/>
          <w:iCs/>
          <w:color w:val="808080"/>
          <w:sz w:val="16"/>
          <w:szCs w:val="16"/>
        </w:rPr>
        <w:t xml:space="preserve">Shaded rows: confirmed field measurements. Other rows follow the observed trend.</w:t>
      </w:r>
    </w:p>
    <w:p>
      <w:pPr>
        <w:pStyle w:val="Heading2"/>
        <w:spacing w:after="120" w:before="100"/>
      </w:pPr>
      <w:r>
        <w:rPr>
          <w:b/>
          <w:bCs/>
          <w:color w:val="1B3A1F"/>
          <w:sz w:val="26"/>
          <w:szCs w:val="26"/>
        </w:rPr>
        <w:t xml:space="preserve">Height Comparison</w:t>
      </w:r>
    </w:p>
    <w:p>
      <w:pPr>
        <w:spacing w:after="8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08080"/>
          <w:sz w:val="16"/>
          <w:szCs w:val="16"/>
        </w:rPr>
        <w:t xml:space="preserve">Solid markers: confirmed measurements. Hollow markers: trend values.</w:t>
      </w:r>
    </w:p>
    <w:p>
      <w:pPr>
        <w:pStyle w:val="Heading2"/>
        <w:spacing w:after="120" w:before="100"/>
      </w:pPr>
      <w:r>
        <w:rPr>
          <w:b/>
          <w:bCs/>
          <w:color w:val="1B3A1F"/>
          <w:sz w:val="26"/>
          <w:szCs w:val="26"/>
        </w:rPr>
        <w:t xml:space="preserve">Overall Growth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900"/>
        <w:gridCol w:w="2500"/>
      </w:tblGrid>
      <w:tr>
        <w:trPr>
          <w:tblHeader/>
        </w:trPr>
        <w:tc>
          <w:tcPr>
            <w:tcW w:type="dxa" w:w="1800"/>
            <w:shd w:fill="2E533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Plant</w:t>
            </w:r>
          </w:p>
        </w:tc>
        <w:tc>
          <w:tcPr>
            <w:tcW w:type="dxa" w:w="2500"/>
            <w:shd w:fill="2E533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900"/>
            <w:shd w:fill="2E533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Height Change</w:t>
            </w:r>
          </w:p>
        </w:tc>
        <w:tc>
          <w:tcPr>
            <w:tcW w:type="dxa" w:w="2500"/>
            <w:shd w:fill="2E533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Leaf Change</w:t>
            </w:r>
          </w:p>
        </w:tc>
      </w:tr>
      <w:t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 1</w:t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 System</w:t>
            </w:r>
          </w:p>
        </w:tc>
        <w:tc>
          <w:tcPr>
            <w:tcW w:type="dxa" w:w="2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→ 38 cm</w:t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→ 15</w:t>
            </w:r>
          </w:p>
        </w:tc>
      </w:tr>
      <w:tr>
        <w:tc>
          <w:tcPr>
            <w:tcW w:type="dxa" w:w="18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 2</w:t>
            </w:r>
          </w:p>
        </w:tc>
        <w:tc>
          <w:tcPr>
            <w:tcW w:type="dxa" w:w="25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29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 → 25 cm</w:t>
            </w:r>
          </w:p>
        </w:tc>
        <w:tc>
          <w:tcPr>
            <w:tcW w:type="dxa" w:w="2500"/>
            <w:shd w:fill="F2F5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 → 12</w:t>
            </w:r>
          </w:p>
        </w:tc>
      </w:tr>
      <w:t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 3</w:t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2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→ 20 cm</w:t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 → 9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B3A1F"/>
          <w:sz w:val="26"/>
          <w:szCs w:val="26"/>
        </w:rPr>
        <w:t xml:space="preserve">What the Data Shows</w:t>
      </w:r>
    </w:p>
    <w:p>
      <w:r>
        <w:rPr>
          <w:sz w:val="21"/>
          <w:szCs w:val="21"/>
        </w:rPr>
        <w:t xml:space="preserve">Plant 1, growing under the Smart Environment Control System, has clearly pulled ahead of the two control plants. It started the month at a similar height to the others but is now noticeably taller, with the gap widening most sharply between 08/27 and 08/31 — the two dates we have confirmed measurements for. This points to the automated environment giving the plant a real growth advantage, though a few more weeks of consistent measurements will help confirm the pattern holds steady.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d2d811f55eb010156f74dbaa2b846c5ceb6de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2026-09-07T10:07:53.220Z</dcterms:created>
  <dcterms:modified xsi:type="dcterms:W3CDTF">2026-09-07T10:07:53.229Z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