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A0A" w:rsidRDefault="00324DE1" w:rsidP="00324DE1">
      <w:pPr>
        <w:pStyle w:val="2"/>
      </w:pPr>
      <w:r>
        <w:t>Реферат на тему: «Разностная аппроксимация для краевой задачи».</w:t>
      </w:r>
    </w:p>
    <w:p w:rsidR="00324DE1" w:rsidRDefault="00324DE1" w:rsidP="00324DE1">
      <w:pPr>
        <w:pStyle w:val="1"/>
        <w:jc w:val="right"/>
      </w:pPr>
      <w:r>
        <w:t>Подготовил Михайлов Денис</w:t>
      </w:r>
    </w:p>
    <w:p w:rsidR="00324DE1" w:rsidRDefault="00324DE1" w:rsidP="00324DE1">
      <w:pPr>
        <w:pStyle w:val="a3"/>
        <w:jc w:val="right"/>
      </w:pPr>
      <w:r>
        <w:t>Группы Б8117-02.03.01</w:t>
      </w:r>
    </w:p>
    <w:p w:rsidR="00324DE1" w:rsidRDefault="00324DE1" w:rsidP="00324DE1">
      <w:pPr>
        <w:pStyle w:val="a3"/>
      </w:pPr>
      <w:r>
        <w:t>Введение.</w:t>
      </w:r>
    </w:p>
    <w:p w:rsidR="00324DE1" w:rsidRDefault="00324DE1" w:rsidP="00324DE1">
      <w:r>
        <w:t>В данном реферате будет представлено решение краевой задачи для дифференциального уравнения второго порядка конечно-разностным методом. Цель заключается в предоставлении наглядного примера использования конечно-разностных аппроксимаций для решения краевой задачи.</w:t>
      </w:r>
    </w:p>
    <w:p w:rsidR="00E964B5" w:rsidRPr="00E964B5" w:rsidRDefault="00E964B5" w:rsidP="00324DE1">
      <w:r>
        <w:t>Идея метода в том, чтобы свести решение краевой задачи для дифференциального уравнения к решению системы алгебраических уравнений относительно значений искомой функции на заданном множестве точек. Это достигается путем замены производных, входящих в дифференциальное уравнение, их конечно-разностными аппроксимациями.</w:t>
      </w:r>
    </w:p>
    <w:p w:rsidR="00324DE1" w:rsidRDefault="00324DE1" w:rsidP="00324DE1">
      <w:pPr>
        <w:pStyle w:val="a3"/>
      </w:pPr>
      <w:r>
        <w:t>Формулировка задачи</w:t>
      </w:r>
      <w:r w:rsidR="00787EE8" w:rsidRPr="00787EE8">
        <w:t xml:space="preserve"> </w:t>
      </w:r>
      <w:r w:rsidR="00787EE8">
        <w:t>и описание метода</w:t>
      </w:r>
      <w:r>
        <w:t>.</w:t>
      </w:r>
    </w:p>
    <w:p w:rsidR="00324DE1" w:rsidRDefault="00324DE1" w:rsidP="00324DE1">
      <w:r>
        <w:t>Рассмотрим краевую задачу для уравнения второго порядка, разрешенного относительно второй производной:</w:t>
      </w:r>
    </w:p>
    <w:p w:rsidR="00324DE1" w:rsidRPr="00787EE8" w:rsidRDefault="00C224F4" w:rsidP="007079ED">
      <w:pPr>
        <w:jc w:val="center"/>
        <w:rPr>
          <w:rFonts w:eastAsiaTheme="minorEastAsia"/>
          <w:i/>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e>
        </m:d>
      </m:oMath>
      <w:r w:rsidR="007079ED" w:rsidRPr="007079ED">
        <w:rPr>
          <w:rFonts w:eastAsiaTheme="minorEastAsia"/>
        </w:rPr>
        <w:t xml:space="preserve">  </w:t>
      </w:r>
      <m:oMath>
        <m:r>
          <w:rPr>
            <w:rFonts w:ascii="Cambria Math" w:hAnsi="Cambria Math"/>
          </w:rPr>
          <m:t>(1)</m:t>
        </m:r>
      </m:oMath>
    </w:p>
    <w:p w:rsidR="00787EE8" w:rsidRDefault="00787EE8" w:rsidP="00324DE1">
      <w:r>
        <w:t>При заданных граничных условиях</w:t>
      </w:r>
      <w:r w:rsidRPr="00787EE8">
        <w:t xml:space="preserve"> </w:t>
      </w:r>
      <w:r>
        <w:t xml:space="preserve">на отрезке </w:t>
      </w:r>
      <m:oMath>
        <m:r>
          <w:rPr>
            <w:rFonts w:ascii="Cambria Math" w:hAnsi="Cambria Math"/>
          </w:rPr>
          <m:t>[0, 1]</m:t>
        </m:r>
      </m:oMath>
      <w:r>
        <w:t>:</w:t>
      </w:r>
    </w:p>
    <w:p w:rsidR="00787EE8" w:rsidRPr="00787EE8" w:rsidRDefault="00C224F4" w:rsidP="00324DE1">
      <w:pPr>
        <w:rPr>
          <w:rFonts w:eastAsiaTheme="minorEastAsia"/>
        </w:rPr>
      </w:pPr>
      <m:oMathPara>
        <m:oMath>
          <m:sSup>
            <m:sSupPr>
              <m:ctrlPr>
                <w:rPr>
                  <w:rFonts w:ascii="Cambria Math" w:hAnsi="Cambria Math"/>
                  <w:i/>
                </w:rPr>
              </m:ctrlPr>
            </m:sSupPr>
            <m:e>
              <m:r>
                <w:rPr>
                  <w:rFonts w:ascii="Cambria Math" w:hAnsi="Cambria Math"/>
                </w:rPr>
                <m:t>Y(0)</m:t>
              </m:r>
            </m:e>
            <m:sup>
              <m:r>
                <w:rPr>
                  <w:rFonts w:ascii="Cambria Math" w:hAnsi="Cambria Math"/>
                </w:rPr>
                <m:t xml:space="preserve"> </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Y</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(2)</m:t>
          </m:r>
        </m:oMath>
      </m:oMathPara>
    </w:p>
    <w:p w:rsidR="00E964B5" w:rsidRDefault="00787EE8" w:rsidP="00324DE1">
      <w:pPr>
        <w:rPr>
          <w:rFonts w:eastAsiaTheme="minorEastAsia"/>
        </w:rPr>
      </w:pPr>
      <w:r>
        <w:t xml:space="preserve">Разобьем отрезок </w:t>
      </w:r>
      <m:oMath>
        <m:r>
          <w:rPr>
            <w:rFonts w:ascii="Cambria Math" w:hAnsi="Cambria Math"/>
          </w:rPr>
          <m:t>[0, 1]</m:t>
        </m:r>
      </m:oMath>
      <w:r>
        <w:rPr>
          <w:rFonts w:eastAsiaTheme="minorEastAsia"/>
        </w:rPr>
        <w:t xml:space="preserve"> на </w:t>
      </w:r>
      <m:oMath>
        <m:r>
          <w:rPr>
            <w:rFonts w:ascii="Cambria Math" w:eastAsiaTheme="minorEastAsia" w:hAnsi="Cambria Math"/>
            <w:lang w:val="en-US"/>
          </w:rPr>
          <m:t>n</m:t>
        </m:r>
      </m:oMath>
      <w:r w:rsidRPr="00787EE8">
        <w:rPr>
          <w:rFonts w:eastAsiaTheme="minorEastAsia"/>
        </w:rPr>
        <w:t xml:space="preserve"> </w:t>
      </w:r>
      <w:r>
        <w:rPr>
          <w:rFonts w:eastAsiaTheme="minorEastAsia"/>
        </w:rPr>
        <w:t xml:space="preserve">равных частей точками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h  (</m:t>
        </m:r>
        <m:r>
          <w:rPr>
            <w:rFonts w:ascii="Cambria Math" w:eastAsiaTheme="minorEastAsia" w:hAnsi="Cambria Math"/>
            <w:lang w:val="en-US"/>
          </w:rPr>
          <m:t>i</m:t>
        </m:r>
        <m:r>
          <w:rPr>
            <w:rFonts w:ascii="Cambria Math" w:eastAsiaTheme="minorEastAsia" w:hAnsi="Cambria Math"/>
          </w:rPr>
          <m:t>=0, 1,…,</m:t>
        </m:r>
        <m:r>
          <w:rPr>
            <w:rFonts w:ascii="Cambria Math" w:eastAsiaTheme="minorEastAsia" w:hAnsi="Cambria Math"/>
            <w:lang w:val="en-US"/>
          </w:rPr>
          <m:t>n</m:t>
        </m:r>
        <m:r>
          <w:rPr>
            <w:rFonts w:ascii="Cambria Math" w:eastAsiaTheme="minorEastAsia" w:hAnsi="Cambria Math"/>
          </w:rPr>
          <m:t>)</m:t>
        </m:r>
      </m:oMath>
      <w:r w:rsidR="00E964B5">
        <w:rPr>
          <w:rFonts w:eastAsiaTheme="minorEastAsia"/>
        </w:rPr>
        <w:t xml:space="preserve">. Решение краевой задачи </w:t>
      </w:r>
      <m:oMath>
        <m:r>
          <w:rPr>
            <w:rFonts w:ascii="Cambria Math" w:eastAsiaTheme="minorEastAsia" w:hAnsi="Cambria Math"/>
          </w:rPr>
          <m:t>(1), (2)</m:t>
        </m:r>
      </m:oMath>
      <w:r w:rsidR="00E964B5">
        <w:rPr>
          <w:rFonts w:eastAsiaTheme="minorEastAsia"/>
        </w:rPr>
        <w:t xml:space="preserve"> сведем к вычислению сеточной функции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r w:rsidR="00E964B5" w:rsidRPr="00E964B5">
        <w:rPr>
          <w:rFonts w:eastAsiaTheme="minorEastAsia"/>
        </w:rPr>
        <w:t xml:space="preserve"> в узловых точка</w:t>
      </w:r>
      <w:r w:rsidR="00E964B5">
        <w:rPr>
          <w:rFonts w:eastAsiaTheme="minorEastAsia"/>
        </w:rPr>
        <w:t xml:space="preserve">х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E964B5">
        <w:rPr>
          <w:rFonts w:eastAsiaTheme="minorEastAsia"/>
        </w:rPr>
        <w:t>. Для этого напишем уравнение (1) для внутренних узлов:</w:t>
      </w:r>
    </w:p>
    <w:p w:rsidR="00787EE8" w:rsidRPr="00176096" w:rsidRDefault="00C224F4" w:rsidP="00324DE1">
      <w:pPr>
        <w:rPr>
          <w:rFonts w:eastAsiaTheme="minorEastAsia"/>
        </w:rPr>
      </w:pPr>
      <m:oMathPara>
        <m:oMath>
          <m:sSup>
            <m:sSupPr>
              <m:ctrlPr>
                <w:rPr>
                  <w:rFonts w:ascii="Cambria Math" w:hAnsi="Cambria Math"/>
                  <w:i/>
                </w:rPr>
              </m:ctrlPr>
            </m:sSupPr>
            <m:e>
              <m:r>
                <w:rPr>
                  <w:rFonts w:ascii="Cambria Math" w:hAnsi="Cambria Math"/>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m:t>
              </m:r>
            </m:e>
            <m:sup>
              <m:r>
                <w:rPr>
                  <w:rFonts w:ascii="Cambria Math" w:hAnsi="Cambria Math"/>
                </w:rPr>
                <m:t xml:space="preserve"> </m:t>
              </m:r>
            </m:sup>
          </m:sSup>
          <m:r>
            <w:rPr>
              <w:rFonts w:ascii="Cambria Math" w:hAnsi="Cambria Math"/>
            </w:rPr>
            <m:t>=f</m:t>
          </m:r>
          <m:d>
            <m:dPr>
              <m:ctrlPr>
                <w:rPr>
                  <w:rFonts w:ascii="Cambria Math"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 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m:t>
              </m:r>
            </m:e>
          </m:d>
          <m:r>
            <w:rPr>
              <w:rFonts w:ascii="Cambria Math" w:hAnsi="Cambria Math"/>
            </w:rPr>
            <m:t xml:space="preserve">,      </m:t>
          </m:r>
          <m:r>
            <w:rPr>
              <w:rFonts w:ascii="Cambria Math" w:hAnsi="Cambria Math"/>
              <w:lang w:val="en-US"/>
            </w:rPr>
            <m:t xml:space="preserve">i=1, 2,… </m:t>
          </m:r>
          <m:r>
            <w:rPr>
              <w:rFonts w:ascii="Cambria Math" w:hAnsi="Cambria Math"/>
            </w:rPr>
            <m:t>, n-1        (3)</m:t>
          </m:r>
        </m:oMath>
      </m:oMathPara>
    </w:p>
    <w:p w:rsidR="00176096" w:rsidRDefault="00176096" w:rsidP="00324DE1">
      <w:pPr>
        <w:rPr>
          <w:rFonts w:eastAsiaTheme="minorEastAsia"/>
        </w:rPr>
      </w:pPr>
      <w:r>
        <w:rPr>
          <w:rFonts w:eastAsiaTheme="minorEastAsia"/>
        </w:rPr>
        <w:t>Заменим производные, входящие в эти выражения их конечно-разностными аппроксимациями:</w:t>
      </w:r>
    </w:p>
    <w:p w:rsidR="00176096" w:rsidRPr="00176096" w:rsidRDefault="00C224F4" w:rsidP="00324DE1">
      <w:pPr>
        <w:rPr>
          <w:rFonts w:eastAsiaTheme="minorEastAsia"/>
        </w:rPr>
      </w:pPr>
      <m:oMathPara>
        <m:oMath>
          <m:sSup>
            <m:sSupPr>
              <m:ctrlPr>
                <w:rPr>
                  <w:rFonts w:ascii="Cambria Math" w:hAnsi="Cambria Math"/>
                  <w:i/>
                </w:rPr>
              </m:ctrlPr>
            </m:sSupPr>
            <m:e>
              <m:r>
                <w:rPr>
                  <w:rFonts w:ascii="Cambria Math" w:hAnsi="Cambria Math"/>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m:t>
              </m:r>
            </m:e>
            <m:sup>
              <m:r>
                <w:rPr>
                  <w:rFonts w:ascii="Cambria Math" w:hAnsi="Cambria Math"/>
                </w:rPr>
                <m:t xml:space="preserve"> </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e>
              </m:d>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m:t>
              </m:r>
            </m:e>
            <m:sup>
              <m:r>
                <w:rPr>
                  <w:rFonts w:ascii="Cambria Math" w:hAnsi="Cambria Math"/>
                </w:rPr>
                <m:t xml:space="preserve"> </m:t>
              </m:r>
            </m:sup>
          </m:sSup>
          <m:r>
            <w:rPr>
              <w:rFonts w:ascii="Cambria Math" w:hAnsi="Cambria Math"/>
            </w:rPr>
            <m:t>=</m:t>
          </m:r>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2y</m:t>
                  </m:r>
                </m:e>
                <m:sub>
                  <m:r>
                    <w:rPr>
                      <w:rFonts w:ascii="Cambria Math" w:eastAsiaTheme="minorEastAsia" w:hAnsi="Cambria Math"/>
                      <w:lang w:val="en-US"/>
                    </w:rPr>
                    <m:t>i</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ctrlPr>
                <w:rPr>
                  <w:rFonts w:ascii="Cambria Math" w:eastAsiaTheme="minorEastAsia" w:hAnsi="Cambria Math"/>
                  <w:i/>
                  <w:lang w:val="en-US"/>
                </w:rPr>
              </m:ctrlP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 xml:space="preserve">             (4)</m:t>
          </m:r>
        </m:oMath>
      </m:oMathPara>
    </w:p>
    <w:p w:rsidR="00176096" w:rsidRDefault="007079ED" w:rsidP="00324DE1">
      <w:r>
        <w:t>Подставляя эти выражения в (3), получаем систему разностных уравнений:</w:t>
      </w:r>
    </w:p>
    <w:p w:rsidR="007079ED" w:rsidRPr="007079ED" w:rsidRDefault="007079ED" w:rsidP="00324DE1">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e>
          </m:d>
          <m:r>
            <w:rPr>
              <w:rFonts w:ascii="Cambria Math" w:hAnsi="Cambria Math"/>
            </w:rPr>
            <m:t>=0,     i=1, 2, …, n-1</m:t>
          </m:r>
          <m:r>
            <w:rPr>
              <w:rFonts w:ascii="Cambria Math" w:eastAsiaTheme="minorEastAsia" w:hAnsi="Cambria Math"/>
            </w:rPr>
            <m:t xml:space="preserve">            (5)</m:t>
          </m:r>
        </m:oMath>
      </m:oMathPara>
    </w:p>
    <w:p w:rsidR="007079ED" w:rsidRDefault="007079ED" w:rsidP="007079ED">
      <w:pPr>
        <w:rPr>
          <w:rFonts w:eastAsiaTheme="minorEastAsia"/>
        </w:rPr>
      </w:pPr>
      <w:r>
        <w:rPr>
          <w:rFonts w:eastAsiaTheme="minorEastAsia"/>
        </w:rPr>
        <w:t xml:space="preserve">Являющуюся системой </w:t>
      </w:r>
      <m:oMath>
        <m:r>
          <w:rPr>
            <w:rFonts w:ascii="Cambria Math" w:hAnsi="Cambria Math"/>
          </w:rPr>
          <m:t>n-1</m:t>
        </m:r>
      </m:oMath>
      <w:r>
        <w:rPr>
          <w:rFonts w:eastAsiaTheme="minorEastAsia"/>
        </w:rPr>
        <w:t xml:space="preserve"> алгебраических уравнений относительно значений сеточной функции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Входящие в данную систему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0</m:t>
            </m:r>
          </m:sub>
        </m:sSub>
        <m:r>
          <m:rPr>
            <m:sty m:val="p"/>
          </m:rPr>
          <w:rPr>
            <w:rFonts w:ascii="Cambria Math" w:eastAsiaTheme="minorEastAsia" w:hAnsi="Cambria Math"/>
          </w:rPr>
          <m:t xml:space="preserve">(при </m:t>
        </m:r>
        <m:r>
          <w:rPr>
            <w:rFonts w:ascii="Cambria Math" w:eastAsiaTheme="minorEastAsia" w:hAnsi="Cambria Math"/>
            <w:lang w:val="en-US"/>
          </w:rPr>
          <m:t>i</m:t>
        </m:r>
        <m:r>
          <w:rPr>
            <w:rFonts w:ascii="Cambria Math" w:eastAsiaTheme="minorEastAsia" w:hAnsi="Cambria Math"/>
          </w:rPr>
          <m:t>=1</m:t>
        </m:r>
        <m:r>
          <m:rPr>
            <m:sty m:val="p"/>
          </m:rPr>
          <w:rPr>
            <w:rFonts w:ascii="Cambria Math" w:eastAsiaTheme="minorEastAsia" w:hAnsi="Cambria Math"/>
          </w:rPr>
          <m:t>)</m:t>
        </m:r>
      </m:oMath>
      <w:r w:rsidRPr="007079ED">
        <w:rPr>
          <w:rFonts w:eastAsiaTheme="minorEastAsia"/>
        </w:rPr>
        <w:t xml:space="preserve"> </w:t>
      </w:r>
      <w:r>
        <w:rPr>
          <w:rFonts w:eastAsiaTheme="minorEastAsia"/>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rPr>
          <m:t xml:space="preserve">(при </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-1)</m:t>
        </m:r>
      </m:oMath>
      <w:r w:rsidRPr="007079ED">
        <w:rPr>
          <w:rFonts w:eastAsiaTheme="minorEastAsia"/>
        </w:rPr>
        <w:t xml:space="preserve"> </w:t>
      </w:r>
      <w:r>
        <w:rPr>
          <w:rFonts w:eastAsiaTheme="minorEastAsia"/>
        </w:rPr>
        <w:t xml:space="preserve">берутся из граничных условий </w:t>
      </w:r>
      <m:oMath>
        <m:r>
          <w:rPr>
            <w:rFonts w:ascii="Cambria Math" w:eastAsiaTheme="minorEastAsia" w:hAnsi="Cambria Math"/>
          </w:rPr>
          <m:t>(2)</m:t>
        </m:r>
      </m:oMath>
      <w:r>
        <w:rPr>
          <w:rFonts w:eastAsiaTheme="minorEastAsia"/>
        </w:rPr>
        <w:t>:</w:t>
      </w:r>
    </w:p>
    <w:p w:rsidR="007079ED" w:rsidRPr="007079ED" w:rsidRDefault="00C224F4" w:rsidP="007079ED">
      <w:pPr>
        <w:rPr>
          <w:rFonts w:eastAsiaTheme="minorEastAsia"/>
        </w:rPr>
      </w:pPr>
      <m:oMathPara>
        <m:oMath>
          <m:sSup>
            <m:sSupPr>
              <m:ctrlPr>
                <w:rPr>
                  <w:rFonts w:ascii="Cambria Math" w:hAnsi="Cambria Math"/>
                  <w:i/>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0</m:t>
                  </m:r>
                </m:sub>
              </m:sSub>
            </m:e>
            <m:sup>
              <m:r>
                <w:rPr>
                  <w:rFonts w:ascii="Cambria Math" w:hAnsi="Cambria Math"/>
                </w:rPr>
                <m:t xml:space="preserve"> </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p w:rsidR="007079ED" w:rsidRDefault="000333DD" w:rsidP="007079ED">
      <w:pPr>
        <w:rPr>
          <w:rFonts w:eastAsiaTheme="minorEastAsia"/>
        </w:rPr>
      </w:pPr>
      <w:r>
        <w:rPr>
          <w:rFonts w:eastAsiaTheme="minorEastAsia"/>
        </w:rPr>
        <w:t>Граничные условия могут быть заданы не только в виде (2), но и в более общем виде</w:t>
      </w:r>
      <w:r w:rsidR="007079ED">
        <w:rPr>
          <w:rFonts w:eastAsiaTheme="minorEastAsia"/>
        </w:rPr>
        <w:t>:</w:t>
      </w:r>
    </w:p>
    <w:p w:rsidR="007079ED" w:rsidRPr="000333DD" w:rsidRDefault="00C224F4" w:rsidP="007079ED">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 xml:space="preserve"> </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=A,</m:t>
          </m:r>
          <m:r>
            <w:rPr>
              <w:rFonts w:ascii="Cambria Math" w:eastAsiaTheme="minorEastAsia" w:hAnsi="Cambria Math"/>
            </w:rPr>
            <m:t xml:space="preserve">                         </m:t>
          </m:r>
        </m:oMath>
      </m:oMathPara>
    </w:p>
    <w:p w:rsidR="000333DD" w:rsidRPr="000333DD" w:rsidRDefault="00C224F4" w:rsidP="000333DD">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 xml:space="preserve"> </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=B,</m:t>
          </m:r>
          <m:r>
            <w:rPr>
              <w:rFonts w:ascii="Cambria Math" w:eastAsiaTheme="minorEastAsia" w:hAnsi="Cambria Math"/>
            </w:rPr>
            <m:t xml:space="preserve">                  (6)</m:t>
          </m:r>
        </m:oMath>
      </m:oMathPara>
    </w:p>
    <w:p w:rsidR="000333DD" w:rsidRDefault="000333DD" w:rsidP="000333DD">
      <w:pPr>
        <w:rPr>
          <w:rFonts w:eastAsiaTheme="minorEastAsia"/>
        </w:rPr>
      </w:pPr>
      <w:r>
        <w:rPr>
          <w:rFonts w:eastAsiaTheme="minorEastAsia"/>
        </w:rPr>
        <w:t>В этом случае</w:t>
      </w:r>
      <w:r w:rsidR="00F31264">
        <w:rPr>
          <w:rFonts w:eastAsiaTheme="minorEastAsia"/>
        </w:rPr>
        <w:t xml:space="preserve"> граничные условия должны представляться в разностном виде путем аппроксимации производных </w:t>
      </w:r>
      <m:oMath>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0</m:t>
            </m:r>
          </m:e>
        </m:d>
      </m:oMath>
      <w:r w:rsidR="00F31264">
        <w:rPr>
          <w:rFonts w:eastAsiaTheme="minorEastAsia"/>
        </w:rPr>
        <w:t xml:space="preserve"> и </w:t>
      </w:r>
      <m:oMath>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1</m:t>
            </m:r>
          </m:e>
        </m:d>
      </m:oMath>
      <w:r w:rsidR="00F31264">
        <w:rPr>
          <w:rFonts w:eastAsiaTheme="minorEastAsia"/>
        </w:rPr>
        <w:t xml:space="preserve"> с помощью конечно-разностных соотношений. Если использовать центральные разности, при которых производные аппроксимируются со вторым порядком точности (такой вид аппроксимаций предпочтительнее, чем аппроксимация производных при односторонних разностях, так как второй случай имеет первый порядок аппроксимации), то разностные граничные условия примут вид:</w:t>
      </w:r>
    </w:p>
    <w:p w:rsidR="00F31264" w:rsidRPr="00013C58" w:rsidRDefault="00C224F4" w:rsidP="000333DD">
      <w:pPr>
        <w:rPr>
          <w:rFonts w:eastAsiaTheme="minorEastAsia"/>
        </w:rPr>
      </w:pPr>
      <m:oMathPara>
        <m:oMath>
          <m:sSup>
            <m:sSupPr>
              <m:ctrlPr>
                <w:rPr>
                  <w:rFonts w:ascii="Cambria Math" w:hAnsi="Cambria Math"/>
                  <w:i/>
                </w:rPr>
              </m:ctrlPr>
            </m:sSupPr>
            <m:e>
              <m:r>
                <w:rPr>
                  <w:rFonts w:ascii="Cambria Math" w:hAnsi="Cambria Math"/>
                </w:rPr>
                <m:t>Y</m:t>
              </m:r>
              <m:r>
                <w:rPr>
                  <w:rFonts w:ascii="Cambria Math" w:hAnsi="Cambria Math"/>
                  <w:lang w:val="en-US"/>
                </w:rPr>
                <m:t>'</m:t>
              </m:r>
              <m:r>
                <w:rPr>
                  <w:rFonts w:ascii="Cambria Math" w:hAnsi="Cambria Math"/>
                </w:rPr>
                <m:t>(</m:t>
              </m:r>
              <m:r>
                <w:rPr>
                  <w:rFonts w:ascii="Cambria Math" w:eastAsiaTheme="minorEastAsia" w:hAnsi="Cambria Math"/>
                  <w:lang w:val="en-US"/>
                </w:rPr>
                <m:t>0</m:t>
              </m:r>
              <m:r>
                <w:rPr>
                  <w:rFonts w:ascii="Cambria Math" w:hAnsi="Cambria Math"/>
                </w:rPr>
                <m:t>)</m:t>
              </m:r>
            </m:e>
            <m:sup>
              <m:r>
                <w:rPr>
                  <w:rFonts w:ascii="Cambria Math" w:hAnsi="Cambria Math"/>
                </w:rPr>
                <m:t xml:space="preserve"> </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Y</m:t>
              </m:r>
              <m:r>
                <w:rPr>
                  <w:rFonts w:ascii="Cambria Math" w:hAnsi="Cambria Math"/>
                  <w:lang w:val="en-US"/>
                </w:rPr>
                <m:t>'</m:t>
              </m:r>
              <m:r>
                <w:rPr>
                  <w:rFonts w:ascii="Cambria Math" w:hAnsi="Cambria Math"/>
                </w:rPr>
                <m:t>(</m:t>
              </m:r>
              <m:r>
                <w:rPr>
                  <w:rFonts w:ascii="Cambria Math" w:eastAsiaTheme="minorEastAsia" w:hAnsi="Cambria Math"/>
                  <w:lang w:val="en-US"/>
                </w:rPr>
                <m:t>1</m:t>
              </m:r>
              <m:r>
                <w:rPr>
                  <w:rFonts w:ascii="Cambria Math" w:hAnsi="Cambria Math"/>
                </w:rPr>
                <m:t>)</m:t>
              </m:r>
            </m:e>
            <m:sup>
              <m:r>
                <w:rPr>
                  <w:rFonts w:ascii="Cambria Math" w:hAnsi="Cambria Math"/>
                </w:rPr>
                <m:t xml:space="preserve"> </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n+1</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n-1</m:t>
                      </m:r>
                    </m:sub>
                  </m:sSub>
                </m:e>
              </m:d>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oMath>
      </m:oMathPara>
    </w:p>
    <w:p w:rsidR="00013C58" w:rsidRDefault="00013C58" w:rsidP="000333DD">
      <w:pPr>
        <w:rPr>
          <w:rFonts w:eastAsiaTheme="minorEastAsia"/>
        </w:rPr>
      </w:pPr>
      <w:r>
        <w:rPr>
          <w:rFonts w:eastAsiaTheme="minorEastAsia"/>
        </w:rPr>
        <w:t>Аппроксимировать граничные условия со вторым порядком можно и иначе:</w:t>
      </w:r>
    </w:p>
    <w:p w:rsidR="00013C58" w:rsidRPr="00013C58" w:rsidRDefault="00C224F4" w:rsidP="000333DD">
      <w:pPr>
        <w:rPr>
          <w:rFonts w:eastAsiaTheme="minorEastAsia"/>
        </w:rPr>
      </w:pPr>
      <m:oMathPara>
        <m:oMath>
          <m:sSup>
            <m:sSupPr>
              <m:ctrlPr>
                <w:rPr>
                  <w:rFonts w:ascii="Cambria Math" w:hAnsi="Cambria Math"/>
                  <w:i/>
                </w:rPr>
              </m:ctrlPr>
            </m:sSupPr>
            <m:e>
              <m:r>
                <w:rPr>
                  <w:rFonts w:ascii="Cambria Math" w:hAnsi="Cambria Math"/>
                </w:rPr>
                <m:t>Y</m:t>
              </m:r>
              <m:r>
                <w:rPr>
                  <w:rFonts w:ascii="Cambria Math" w:hAnsi="Cambria Math"/>
                  <w:lang w:val="en-US"/>
                </w:rPr>
                <m:t>'</m:t>
              </m:r>
              <m:r>
                <w:rPr>
                  <w:rFonts w:ascii="Cambria Math" w:hAnsi="Cambria Math"/>
                </w:rPr>
                <m:t>(</m:t>
              </m:r>
              <m:r>
                <w:rPr>
                  <w:rFonts w:ascii="Cambria Math" w:eastAsiaTheme="minorEastAsia" w:hAnsi="Cambria Math"/>
                  <w:lang w:val="en-US"/>
                </w:rPr>
                <m:t>0</m:t>
              </m:r>
              <m:r>
                <w:rPr>
                  <w:rFonts w:ascii="Cambria Math" w:hAnsi="Cambria Math"/>
                </w:rPr>
                <m:t>)</m:t>
              </m:r>
            </m:e>
            <m:sup>
              <m:r>
                <w:rPr>
                  <w:rFonts w:ascii="Cambria Math" w:hAnsi="Cambria Math"/>
                </w:rPr>
                <m:t xml:space="preserve"> </m:t>
              </m:r>
            </m:sup>
          </m:s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3y</m:t>
                  </m:r>
                </m:e>
                <m:sub>
                  <m:r>
                    <w:rPr>
                      <w:rFonts w:ascii="Cambria Math" w:eastAsiaTheme="minorEastAsia" w:hAnsi="Cambria Math"/>
                      <w:lang w:val="en-US"/>
                    </w:rPr>
                    <m:t>0</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Y</m:t>
              </m:r>
              <m:r>
                <w:rPr>
                  <w:rFonts w:ascii="Cambria Math" w:hAnsi="Cambria Math"/>
                  <w:lang w:val="en-US"/>
                </w:rPr>
                <m:t>'</m:t>
              </m:r>
              <m:r>
                <w:rPr>
                  <w:rFonts w:ascii="Cambria Math" w:hAnsi="Cambria Math"/>
                </w:rPr>
                <m:t>(</m:t>
              </m:r>
              <m:r>
                <w:rPr>
                  <w:rFonts w:ascii="Cambria Math" w:eastAsiaTheme="minorEastAsia" w:hAnsi="Cambria Math"/>
                  <w:lang w:val="en-US"/>
                </w:rPr>
                <m:t>0</m:t>
              </m:r>
              <m:r>
                <w:rPr>
                  <w:rFonts w:ascii="Cambria Math" w:hAnsi="Cambria Math"/>
                </w:rPr>
                <m:t>)</m:t>
              </m:r>
            </m:e>
            <m:sup>
              <m:r>
                <w:rPr>
                  <w:rFonts w:ascii="Cambria Math" w:hAnsi="Cambria Math"/>
                </w:rPr>
                <m:t xml:space="preserve"> </m:t>
              </m:r>
            </m:sup>
          </m:sSup>
          <m:r>
            <w:rPr>
              <w:rFonts w:ascii="Cambria Math" w:hAnsi="Cambria Math"/>
            </w:rPr>
            <m:t>=</m:t>
          </m:r>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3y</m:t>
                  </m:r>
                </m:e>
                <m:sub>
                  <m:r>
                    <w:rPr>
                      <w:rFonts w:ascii="Cambria Math" w:eastAsiaTheme="minorEastAsia" w:hAnsi="Cambria Math"/>
                      <w:lang w:val="en-US"/>
                    </w:rPr>
                    <m:t>n</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n-2</m:t>
                  </m:r>
                </m:sub>
              </m:sSub>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oMath>
      </m:oMathPara>
    </w:p>
    <w:p w:rsidR="003621A4" w:rsidRDefault="00013C58" w:rsidP="000333DD">
      <w:pPr>
        <w:rPr>
          <w:rFonts w:eastAsiaTheme="minorEastAsia"/>
        </w:rPr>
      </w:pPr>
      <w:r>
        <w:rPr>
          <w:rFonts w:eastAsiaTheme="minorEastAsia"/>
        </w:rPr>
        <w:t xml:space="preserve">Таким образом, решение краевой задачи для дифференциального уравнения сведено к решению системы алгебраических уравнений вида </w:t>
      </w:r>
      <m:oMath>
        <m:r>
          <w:rPr>
            <w:rFonts w:ascii="Cambria Math" w:eastAsiaTheme="minorEastAsia" w:hAnsi="Cambria Math"/>
          </w:rPr>
          <m:t>(5)</m:t>
        </m:r>
      </m:oMath>
      <w:r>
        <w:rPr>
          <w:rFonts w:eastAsiaTheme="minorEastAsia"/>
        </w:rPr>
        <w:t xml:space="preserve">. Эта система является линейной или нелинейной в зависимости от того, линейно или нелинейно дифференциальное уравнение </w:t>
      </w:r>
      <m:oMath>
        <m:r>
          <w:rPr>
            <w:rFonts w:ascii="Cambria Math" w:eastAsiaTheme="minorEastAsia" w:hAnsi="Cambria Math"/>
          </w:rPr>
          <m:t>(1)</m:t>
        </m:r>
      </m:oMath>
      <w:r>
        <w:rPr>
          <w:rFonts w:eastAsiaTheme="minorEastAsia"/>
        </w:rPr>
        <w:t>. Методы решения данной системы: метод прогонки, метод Гаусса и др.</w:t>
      </w:r>
    </w:p>
    <w:p w:rsidR="0005124A" w:rsidRDefault="0005124A" w:rsidP="0005124A">
      <w:pPr>
        <w:pStyle w:val="1"/>
      </w:pPr>
      <w:r>
        <w:t>Пример.</w:t>
      </w:r>
    </w:p>
    <w:p w:rsidR="0005124A" w:rsidRDefault="0005124A" w:rsidP="0005124A">
      <w:r>
        <w:t>Дана следующая задача:</w:t>
      </w:r>
    </w:p>
    <w:p w:rsidR="0005124A" w:rsidRPr="0005124A" w:rsidRDefault="0005124A" w:rsidP="0005124A">
      <w:pPr>
        <w:contextualSpacing/>
        <w:rPr>
          <w:rFonts w:eastAsiaTheme="minorEastAsia"/>
          <w:i/>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u</m:t>
              </m:r>
            </m:num>
            <m:den>
              <m:sSup>
                <m:sSupPr>
                  <m:ctrlPr>
                    <w:rPr>
                      <w:rFonts w:ascii="Cambria Math" w:hAnsi="Cambria Math"/>
                      <w:i/>
                      <w:lang w:val="en-US"/>
                    </w:rPr>
                  </m:ctrlPr>
                </m:sSupPr>
                <m:e>
                  <m:r>
                    <w:rPr>
                      <w:rFonts w:ascii="Cambria Math" w:hAnsi="Cambria Math"/>
                      <w:lang w:val="en-US"/>
                    </w:rPr>
                    <m:t>dx</m:t>
                  </m:r>
                </m:e>
                <m:sup>
                  <m:r>
                    <w:rPr>
                      <w:rFonts w:ascii="Cambria Math" w:hAnsi="Cambria Math"/>
                      <w:lang w:val="en-US"/>
                    </w:rPr>
                    <m:t>2</m:t>
                  </m:r>
                </m:sup>
              </m:sSup>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u</m:t>
              </m:r>
            </m:num>
            <m:den>
              <m:r>
                <w:rPr>
                  <w:rFonts w:ascii="Cambria Math" w:hAnsi="Cambria Math"/>
                  <w:lang w:val="en-US"/>
                </w:rPr>
                <m:t>dx</m:t>
              </m:r>
            </m:den>
          </m:f>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m:t>
          </m:r>
          <m:r>
            <w:rPr>
              <w:rFonts w:ascii="Cambria Math" w:eastAsiaTheme="minorEastAsia" w:hAnsi="Cambria Math"/>
            </w:rPr>
            <m:t>0.</m:t>
          </m:r>
          <m:r>
            <w:rPr>
              <w:rFonts w:ascii="Cambria Math" w:eastAsiaTheme="minorEastAsia" w:hAnsi="Cambria Math"/>
            </w:rPr>
            <m:t xml:space="preserve">1,     </m:t>
          </m:r>
          <m:r>
            <w:rPr>
              <w:rFonts w:ascii="Cambria Math" w:eastAsiaTheme="minorEastAsia" w:hAnsi="Cambria Math"/>
              <w:lang w:val="en-US"/>
            </w:rPr>
            <m:t>x=[0, 1]</m:t>
          </m:r>
        </m:oMath>
      </m:oMathPara>
    </w:p>
    <w:p w:rsidR="0005124A" w:rsidRPr="00451F86" w:rsidRDefault="0005124A" w:rsidP="0005124A">
      <w:pPr>
        <w:contextualSpacing/>
        <w:rPr>
          <w:rFonts w:eastAsiaTheme="minorEastAsia"/>
        </w:rPr>
      </w:pPr>
      <w:r>
        <w:rPr>
          <w:rFonts w:eastAsiaTheme="minorEastAsia"/>
        </w:rPr>
        <w:t>С краевыми условиями:</w:t>
      </w:r>
    </w:p>
    <w:p w:rsidR="0005124A" w:rsidRPr="00451F86" w:rsidRDefault="0005124A" w:rsidP="0005124A">
      <w:pPr>
        <w:contextualSpacing/>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0</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α</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 xml:space="preserve"> ≠0</m:t>
          </m:r>
        </m:oMath>
      </m:oMathPara>
    </w:p>
    <w:p w:rsidR="0005124A" w:rsidRPr="00451F86" w:rsidRDefault="0005124A" w:rsidP="0005124A">
      <w:pPr>
        <w:contextualSpacing/>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1</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α</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≠0</m:t>
          </m:r>
        </m:oMath>
      </m:oMathPara>
    </w:p>
    <w:p w:rsidR="0005124A" w:rsidRDefault="0005124A" w:rsidP="0005124A">
      <w:pPr>
        <w:contextualSpacing/>
        <w:rPr>
          <w:rFonts w:eastAsiaTheme="minorEastAsia"/>
        </w:rPr>
      </w:pPr>
      <w:r>
        <w:rPr>
          <w:rFonts w:eastAsiaTheme="minorEastAsia"/>
        </w:rPr>
        <w:t xml:space="preserve">Где </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r>
          <w:rPr>
            <w:rFonts w:ascii="Cambria Math" w:eastAsiaTheme="minorEastAsia" w:hAnsi="Cambria Math"/>
            <w:lang w:val="en-US"/>
          </w:rPr>
          <m:t>x+1</m:t>
        </m:r>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r>
          <w:rPr>
            <w:rFonts w:ascii="Cambria Math" w:eastAsiaTheme="minorEastAsia" w:hAnsi="Cambria Math"/>
          </w:rPr>
          <m:t>1</m:t>
        </m:r>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(x</m:t>
                </m:r>
                <m:r>
                  <w:rPr>
                    <w:rFonts w:ascii="Cambria Math" w:eastAsiaTheme="minorEastAsia" w:hAnsi="Cambria Math"/>
                  </w:rPr>
                  <m:t>+1)</m:t>
                </m:r>
              </m:e>
              <m:sup>
                <m:r>
                  <w:rPr>
                    <w:rFonts w:ascii="Cambria Math" w:eastAsiaTheme="minorEastAsia" w:hAnsi="Cambria Math"/>
                  </w:rPr>
                  <m:t>3</m:t>
                </m:r>
              </m:sup>
            </m:sSup>
          </m:den>
        </m:f>
      </m:oMath>
    </w:p>
    <w:p w:rsidR="0005124A" w:rsidRDefault="0005124A" w:rsidP="0005124A">
      <w:pPr>
        <w:spacing w:line="259" w:lineRule="auto"/>
        <w:jc w:val="left"/>
      </w:pPr>
      <w:r>
        <w:t>Решим краевую задачу с помощью трёхточечной разностной схемы:</w:t>
      </w:r>
    </w:p>
    <w:p w:rsidR="0005124A" w:rsidRDefault="0005124A" w:rsidP="0005124A">
      <w:pPr>
        <w:spacing w:line="259" w:lineRule="auto"/>
        <w:jc w:val="lef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i=0,…, N</m:t>
          </m:r>
        </m:oMath>
      </m:oMathPara>
    </w:p>
    <w:p w:rsidR="0005124A" w:rsidRDefault="0005124A" w:rsidP="0005124A">
      <w:pPr>
        <w:spacing w:line="259" w:lineRule="auto"/>
        <w:jc w:val="left"/>
        <w:rPr>
          <w:lang w:val="en-US"/>
        </w:rPr>
      </w:pPr>
      <w:r>
        <w:t>Где</w:t>
      </w:r>
      <w:r>
        <w:rPr>
          <w:lang w:val="en-US"/>
        </w:rPr>
        <w:t>:</w:t>
      </w:r>
    </w:p>
    <w:p w:rsidR="0005124A" w:rsidRPr="00997692" w:rsidRDefault="0005124A" w:rsidP="0005124A">
      <w:pPr>
        <w:pStyle w:val="a5"/>
        <w:numPr>
          <w:ilvl w:val="0"/>
          <w:numId w:val="1"/>
        </w:numPr>
        <w:spacing w:line="259" w:lineRule="auto"/>
        <w:jc w:val="left"/>
        <w:rPr>
          <w:rFonts w:eastAsiaTheme="minorEastAsia"/>
          <w:lang w:val="en-US"/>
        </w:rPr>
      </w:pPr>
      <m:oMath>
        <m:sSub>
          <m:sSubPr>
            <m:ctrlPr>
              <w:rPr>
                <w:rFonts w:ascii="Cambria Math" w:hAnsi="Cambria Math"/>
                <w:i/>
              </w:rPr>
            </m:ctrlPr>
          </m:sSubPr>
          <m:e>
            <m:r>
              <w:rPr>
                <w:rFonts w:ascii="Cambria Math" w:hAnsi="Cambria Math"/>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lang w:val="en-US"/>
          </w:rPr>
          <m:t xml:space="preserve">=0,   </m:t>
        </m:r>
      </m:oMath>
    </w:p>
    <w:p w:rsidR="0005124A" w:rsidRPr="00997692" w:rsidRDefault="0005124A" w:rsidP="0005124A">
      <w:pPr>
        <w:pStyle w:val="a5"/>
        <w:numPr>
          <w:ilvl w:val="0"/>
          <w:numId w:val="1"/>
        </w:numPr>
        <w:spacing w:line="259" w:lineRule="auto"/>
        <w:jc w:val="left"/>
        <w:rPr>
          <w:rFonts w:eastAsiaTheme="minorEastAsia"/>
          <w:lang w:val="en-US"/>
        </w:r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lang w:val="en-US"/>
          </w:rPr>
          <m:t>=</m:t>
        </m:r>
        <m:f>
          <m:fPr>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lang w:val="en-US"/>
                  </w:rPr>
                  <m:t>h</m:t>
                </m:r>
              </m:e>
              <m:sup>
                <m:r>
                  <w:rPr>
                    <w:rFonts w:ascii="Cambria Math" w:hAnsi="Cambria Math"/>
                    <w:lang w:val="en-US"/>
                  </w:rPr>
                  <m:t>2</m:t>
                </m:r>
              </m:sup>
            </m:sSup>
          </m:den>
        </m:f>
        <m:d>
          <m:dPr>
            <m:ctrlPr>
              <w:rPr>
                <w:rFonts w:ascii="Cambria Math" w:hAnsi="Cambria Math"/>
                <w:i/>
              </w:rPr>
            </m:ctrlPr>
          </m:dPr>
          <m:e>
            <m:r>
              <w:rPr>
                <w:rFonts w:ascii="Cambria Math" w:hAnsi="Cambria Math"/>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oMath>
    </w:p>
    <w:p w:rsidR="0005124A" w:rsidRPr="00997692" w:rsidRDefault="0005124A" w:rsidP="0005124A">
      <w:pPr>
        <w:pStyle w:val="a5"/>
        <w:numPr>
          <w:ilvl w:val="0"/>
          <w:numId w:val="1"/>
        </w:numPr>
        <w:spacing w:line="259" w:lineRule="auto"/>
        <w:jc w:val="left"/>
        <w:rPr>
          <w:rFonts w:eastAsiaTheme="minorEastAsia"/>
          <w:lang w:val="en-US"/>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en-US"/>
          </w:rPr>
          <m:t>=</m:t>
        </m:r>
        <m:f>
          <m:fPr>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lang w:val="en-US"/>
                  </w:rPr>
                  <m:t>h</m:t>
                </m:r>
              </m:e>
              <m:sup>
                <m:r>
                  <w:rPr>
                    <w:rFonts w:ascii="Cambria Math" w:hAnsi="Cambria Math"/>
                    <w:lang w:val="en-US"/>
                  </w:rPr>
                  <m:t>2</m:t>
                </m:r>
              </m:sup>
            </m:sSup>
          </m:den>
        </m:f>
        <m:d>
          <m:dPr>
            <m:ctrlPr>
              <w:rPr>
                <w:rFonts w:ascii="Cambria Math" w:hAnsi="Cambria Math"/>
                <w:i/>
              </w:rPr>
            </m:ctrlPr>
          </m:dPr>
          <m:e>
            <m:r>
              <w:rPr>
                <w:rFonts w:ascii="Cambria Math" w:hAnsi="Cambria Math"/>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eastAsiaTheme="minorEastAsia" w:hAnsi="Cambria Math"/>
            <w:lang w:val="en-US"/>
          </w:rPr>
          <m:t xml:space="preserve">, </m:t>
        </m:r>
      </m:oMath>
    </w:p>
    <w:p w:rsidR="0005124A" w:rsidRPr="00997692" w:rsidRDefault="0005124A" w:rsidP="0005124A">
      <w:pPr>
        <w:pStyle w:val="a5"/>
        <w:numPr>
          <w:ilvl w:val="0"/>
          <w:numId w:val="1"/>
        </w:numPr>
        <w:spacing w:line="259" w:lineRule="auto"/>
        <w:jc w:val="left"/>
        <w:rPr>
          <w:rFonts w:eastAsiaTheme="minorEastAsia"/>
          <w:lang w:val="en-US"/>
        </w:rP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lang w:val="en-US"/>
              </w:rPr>
              <m:t>h</m:t>
            </m:r>
            <m:ctrlPr>
              <w:rPr>
                <w:rFonts w:ascii="Cambria Math" w:eastAsiaTheme="minorEastAsia" w:hAnsi="Cambria Math"/>
                <w:i/>
              </w:rPr>
            </m:ctrlPr>
          </m:num>
          <m:den>
            <m:r>
              <w:rPr>
                <w:rFonts w:ascii="Cambria Math" w:hAnsi="Cambria Math"/>
                <w:lang w:val="en-US"/>
              </w:rPr>
              <m:t>2</m:t>
            </m:r>
          </m:den>
        </m:f>
        <m:r>
          <w:rPr>
            <w:rFonts w:ascii="Cambria Math" w:eastAsiaTheme="minorEastAsia" w:hAnsi="Cambria Math"/>
            <w:lang w:val="en-US"/>
          </w:rPr>
          <m:t>,</m:t>
        </m:r>
      </m:oMath>
    </w:p>
    <w:p w:rsidR="0005124A" w:rsidRPr="00997692" w:rsidRDefault="0005124A" w:rsidP="0005124A">
      <w:pPr>
        <w:pStyle w:val="a5"/>
        <w:numPr>
          <w:ilvl w:val="0"/>
          <w:numId w:val="1"/>
        </w:numPr>
        <w:spacing w:line="259" w:lineRule="auto"/>
        <w:jc w:val="left"/>
        <w:rPr>
          <w:rFonts w:eastAsiaTheme="minorEastAsia"/>
          <w:lang w:val="en-US"/>
        </w:rPr>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lang w:val="en-US"/>
          </w:rPr>
          <m:t xml:space="preserve">,   </m:t>
        </m:r>
      </m:oMath>
    </w:p>
    <w:p w:rsidR="0005124A" w:rsidRPr="00D80F2C" w:rsidRDefault="0005124A" w:rsidP="0005124A">
      <w:pPr>
        <w:pStyle w:val="a5"/>
        <w:numPr>
          <w:ilvl w:val="0"/>
          <w:numId w:val="1"/>
        </w:numPr>
        <w:spacing w:line="259" w:lineRule="auto"/>
        <w:jc w:val="left"/>
        <w:rPr>
          <w:rFonts w:eastAsiaTheme="minorEastAsia"/>
          <w:lang w:val="en-US"/>
        </w:rPr>
      </w:pPr>
      <m:oMath>
        <m:r>
          <w:rPr>
            <w:rFonts w:ascii="Cambria Math" w:hAnsi="Cambria Math"/>
          </w:rPr>
          <m:t>i</m:t>
        </m:r>
        <m:r>
          <w:rPr>
            <w:rFonts w:ascii="Cambria Math" w:hAnsi="Cambria Math"/>
            <w:lang w:val="en-US"/>
          </w:rPr>
          <m:t>=</m:t>
        </m:r>
        <m:r>
          <w:rPr>
            <w:rFonts w:ascii="Cambria Math" w:hAnsi="Cambria Math"/>
          </w:rPr>
          <m:t>1,…, N-1</m:t>
        </m:r>
      </m:oMath>
    </w:p>
    <w:p w:rsidR="0005124A" w:rsidRPr="00997692" w:rsidRDefault="0005124A" w:rsidP="0005124A">
      <w:pPr>
        <w:pStyle w:val="a5"/>
        <w:numPr>
          <w:ilvl w:val="0"/>
          <w:numId w:val="1"/>
        </w:numPr>
        <w:spacing w:line="259" w:lineRule="auto"/>
        <w:jc w:val="left"/>
        <w:rPr>
          <w:rFonts w:eastAsiaTheme="minorEastAsia"/>
          <w:lang w:val="en-US"/>
        </w:rPr>
      </w:pPr>
      <m:oMath>
        <m:r>
          <w:rPr>
            <w:rFonts w:ascii="Cambria Math" w:eastAsiaTheme="minorEastAsia" w:hAnsi="Cambria Math"/>
            <w:lang w:val="en-US"/>
          </w:rPr>
          <m:t xml:space="preserve"> u</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=0.5</m:t>
        </m:r>
      </m:oMath>
    </w:p>
    <w:p w:rsidR="0005124A" w:rsidRDefault="0005124A" w:rsidP="0005124A">
      <w:pPr>
        <w:spacing w:line="259" w:lineRule="auto"/>
        <w:jc w:val="left"/>
      </w:pPr>
      <w:r>
        <w:t>Коэффициенты уравнения:</w:t>
      </w:r>
    </w:p>
    <w:p w:rsidR="0005124A" w:rsidRDefault="0005124A" w:rsidP="0005124A">
      <w:pPr>
        <w:pStyle w:val="a5"/>
        <w:numPr>
          <w:ilvl w:val="0"/>
          <w:numId w:val="2"/>
        </w:numPr>
        <w:spacing w:line="259" w:lineRule="auto"/>
        <w:jc w:val="left"/>
      </w:pP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=1 и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m:t>
        </m:r>
      </m:oMath>
    </w:p>
    <w:p w:rsidR="0005124A" w:rsidRDefault="0005124A" w:rsidP="0005124A">
      <w:pPr>
        <w:pStyle w:val="a5"/>
        <w:numPr>
          <w:ilvl w:val="0"/>
          <w:numId w:val="2"/>
        </w:numPr>
        <w:spacing w:line="259" w:lineRule="auto"/>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w:rPr>
            <w:rFonts w:ascii="Cambria Math" w:hAnsi="Cambria Math"/>
          </w:rPr>
          <m:t xml:space="preserve"> и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p>
    <w:p w:rsidR="0005124A" w:rsidRPr="0005124A" w:rsidRDefault="0005124A" w:rsidP="0005124A">
      <w:pPr>
        <w:pStyle w:val="a5"/>
        <w:numPr>
          <w:ilvl w:val="0"/>
          <w:numId w:val="2"/>
        </w:numPr>
        <w:spacing w:line="259" w:lineRule="auto"/>
        <w:jc w:val="left"/>
      </w:pP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=1 и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=0.5</m:t>
        </m:r>
      </m:oMath>
    </w:p>
    <w:p w:rsidR="0005124A" w:rsidRDefault="0005124A" w:rsidP="0005124A">
      <w:pPr>
        <w:spacing w:line="259" w:lineRule="auto"/>
        <w:jc w:val="left"/>
      </w:pPr>
      <w:r>
        <w:t>Применим метод прогонки для решения полученной системы. Значения точного и приближенного решения представлены в таблице 1.</w:t>
      </w:r>
    </w:p>
    <w:tbl>
      <w:tblPr>
        <w:tblStyle w:val="a6"/>
        <w:tblpPr w:leftFromText="180" w:rightFromText="180" w:vertAnchor="text" w:horzAnchor="margin" w:tblpXSpec="center" w:tblpY="412"/>
        <w:tblW w:w="10040" w:type="dxa"/>
        <w:tblLook w:val="04A0" w:firstRow="1" w:lastRow="0" w:firstColumn="1" w:lastColumn="0" w:noHBand="0" w:noVBand="1"/>
      </w:tblPr>
      <w:tblGrid>
        <w:gridCol w:w="768"/>
        <w:gridCol w:w="821"/>
        <w:gridCol w:w="931"/>
        <w:gridCol w:w="931"/>
        <w:gridCol w:w="931"/>
        <w:gridCol w:w="931"/>
        <w:gridCol w:w="931"/>
        <w:gridCol w:w="931"/>
        <w:gridCol w:w="931"/>
        <w:gridCol w:w="931"/>
        <w:gridCol w:w="931"/>
        <w:gridCol w:w="491"/>
      </w:tblGrid>
      <w:tr w:rsidR="00C224F4" w:rsidRPr="00C224F4" w:rsidTr="00C224F4">
        <w:trPr>
          <w:trHeight w:val="536"/>
        </w:trPr>
        <w:tc>
          <w:tcPr>
            <w:tcW w:w="693" w:type="dxa"/>
            <w:vAlign w:val="center"/>
          </w:tcPr>
          <w:p w:rsidR="006A7C6B" w:rsidRDefault="006A7C6B" w:rsidP="006A7C6B">
            <w:pPr>
              <w:spacing w:line="259" w:lineRule="auto"/>
              <w:jc w:val="center"/>
            </w:pPr>
            <m:oMathPara>
              <m:oMath>
                <m:r>
                  <w:rPr>
                    <w:rFonts w:ascii="Cambria Math" w:eastAsiaTheme="minorEastAsia" w:hAnsi="Cambria Math"/>
                  </w:rPr>
                  <m:t>x</m:t>
                </m:r>
              </m:oMath>
            </m:oMathPara>
          </w:p>
        </w:tc>
        <w:tc>
          <w:tcPr>
            <w:tcW w:w="791" w:type="dxa"/>
            <w:vAlign w:val="center"/>
          </w:tcPr>
          <w:p w:rsidR="006A7C6B" w:rsidRPr="00C224F4" w:rsidRDefault="006A7C6B" w:rsidP="006A7C6B">
            <w:pPr>
              <w:spacing w:line="259" w:lineRule="auto"/>
              <w:jc w:val="center"/>
              <w:rPr>
                <w:sz w:val="22"/>
                <w:lang w:val="en-US"/>
              </w:rPr>
            </w:pPr>
            <w:r w:rsidRPr="00C224F4">
              <w:rPr>
                <w:sz w:val="22"/>
                <w:lang w:val="en-US"/>
              </w:rPr>
              <w:t>0</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0.1</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0.2</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0.3</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0.4</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0.5</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0.6</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0.7</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0.8</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0.9</w:t>
            </w:r>
          </w:p>
        </w:tc>
        <w:tc>
          <w:tcPr>
            <w:tcW w:w="465" w:type="dxa"/>
            <w:vAlign w:val="center"/>
          </w:tcPr>
          <w:p w:rsidR="006A7C6B" w:rsidRPr="00C224F4" w:rsidRDefault="006A7C6B" w:rsidP="006A7C6B">
            <w:pPr>
              <w:spacing w:line="259" w:lineRule="auto"/>
              <w:jc w:val="center"/>
              <w:rPr>
                <w:sz w:val="22"/>
                <w:lang w:val="en-US"/>
              </w:rPr>
            </w:pPr>
            <w:r w:rsidRPr="00C224F4">
              <w:rPr>
                <w:sz w:val="22"/>
                <w:lang w:val="en-US"/>
              </w:rPr>
              <w:t>1</w:t>
            </w:r>
          </w:p>
        </w:tc>
      </w:tr>
      <w:tr w:rsidR="00C224F4" w:rsidRPr="00C224F4" w:rsidTr="00C224F4">
        <w:trPr>
          <w:trHeight w:val="932"/>
        </w:trPr>
        <w:tc>
          <w:tcPr>
            <w:tcW w:w="693" w:type="dxa"/>
            <w:vAlign w:val="center"/>
          </w:tcPr>
          <w:p w:rsidR="006A7C6B" w:rsidRDefault="006A7C6B" w:rsidP="006A7C6B">
            <w:pPr>
              <w:spacing w:line="259" w:lineRule="auto"/>
              <w:jc w:val="center"/>
            </w:pPr>
            <m:oMathPara>
              <m:oMath>
                <m:r>
                  <w:rPr>
                    <w:rFonts w:ascii="Cambria Math" w:hAnsi="Cambria Math"/>
                  </w:rPr>
                  <m:t>y(</m:t>
                </m:r>
                <m:r>
                  <w:rPr>
                    <w:rFonts w:ascii="Cambria Math" w:hAnsi="Cambria Math"/>
                    <w:lang w:val="en-US"/>
                  </w:rPr>
                  <m:t>x</m:t>
                </m:r>
                <m:r>
                  <w:rPr>
                    <w:rFonts w:ascii="Cambria Math" w:hAnsi="Cambria Math"/>
                  </w:rPr>
                  <m:t>)</m:t>
                </m:r>
              </m:oMath>
            </m:oMathPara>
          </w:p>
        </w:tc>
        <w:tc>
          <w:tcPr>
            <w:tcW w:w="791" w:type="dxa"/>
            <w:vAlign w:val="center"/>
          </w:tcPr>
          <w:p w:rsidR="006A7C6B" w:rsidRPr="00C224F4" w:rsidRDefault="006A7C6B" w:rsidP="006A7C6B">
            <w:pPr>
              <w:spacing w:line="259" w:lineRule="auto"/>
              <w:jc w:val="center"/>
              <w:rPr>
                <w:sz w:val="22"/>
                <w:lang w:val="en-US"/>
              </w:rPr>
            </w:pPr>
            <w:r w:rsidRPr="00C224F4">
              <w:rPr>
                <w:sz w:val="22"/>
                <w:lang w:val="en-US"/>
              </w:rPr>
              <w:t>1</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0.90909</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0.83333</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0.76923</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0.71428</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0.66667</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0.625</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0.58824</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0.55556</w:t>
            </w:r>
          </w:p>
        </w:tc>
        <w:tc>
          <w:tcPr>
            <w:tcW w:w="899" w:type="dxa"/>
            <w:vAlign w:val="center"/>
          </w:tcPr>
          <w:p w:rsidR="006A7C6B" w:rsidRPr="00C224F4" w:rsidRDefault="006A7C6B" w:rsidP="006A7C6B">
            <w:pPr>
              <w:spacing w:line="259" w:lineRule="auto"/>
              <w:jc w:val="center"/>
              <w:rPr>
                <w:sz w:val="22"/>
                <w:lang w:val="en-US"/>
              </w:rPr>
            </w:pPr>
            <w:r w:rsidRPr="00C224F4">
              <w:rPr>
                <w:sz w:val="22"/>
                <w:lang w:val="en-US"/>
              </w:rPr>
              <w:t>0.52631</w:t>
            </w:r>
          </w:p>
        </w:tc>
        <w:tc>
          <w:tcPr>
            <w:tcW w:w="465" w:type="dxa"/>
            <w:vAlign w:val="center"/>
          </w:tcPr>
          <w:p w:rsidR="006A7C6B" w:rsidRPr="00C224F4" w:rsidRDefault="006A7C6B" w:rsidP="006A7C6B">
            <w:pPr>
              <w:spacing w:line="259" w:lineRule="auto"/>
              <w:jc w:val="center"/>
              <w:rPr>
                <w:sz w:val="22"/>
                <w:lang w:val="en-US"/>
              </w:rPr>
            </w:pPr>
            <w:r w:rsidRPr="00C224F4">
              <w:rPr>
                <w:sz w:val="22"/>
                <w:lang w:val="en-US"/>
              </w:rPr>
              <w:t>0.5</w:t>
            </w:r>
          </w:p>
        </w:tc>
      </w:tr>
      <w:tr w:rsidR="00C224F4" w:rsidRPr="00C224F4" w:rsidTr="00C224F4">
        <w:trPr>
          <w:trHeight w:val="910"/>
        </w:trPr>
        <w:tc>
          <w:tcPr>
            <w:tcW w:w="693" w:type="dxa"/>
            <w:vAlign w:val="center"/>
          </w:tcPr>
          <w:p w:rsidR="006A7C6B" w:rsidRDefault="006A7C6B" w:rsidP="006A7C6B">
            <w:pPr>
              <w:spacing w:line="259" w:lineRule="auto"/>
              <w:jc w:val="center"/>
            </w:pPr>
            <m:oMathPara>
              <m:oMath>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lang w:val="en-US"/>
                  </w:rPr>
                  <m:t>x</m:t>
                </m:r>
                <m:r>
                  <w:rPr>
                    <w:rFonts w:ascii="Cambria Math" w:hAnsi="Cambria Math"/>
                  </w:rPr>
                  <m:t>)</m:t>
                </m:r>
              </m:oMath>
            </m:oMathPara>
          </w:p>
        </w:tc>
        <w:tc>
          <w:tcPr>
            <w:tcW w:w="791" w:type="dxa"/>
            <w:vAlign w:val="center"/>
          </w:tcPr>
          <w:p w:rsidR="006A7C6B" w:rsidRPr="00C224F4" w:rsidRDefault="006A7C6B" w:rsidP="006A7C6B">
            <w:pPr>
              <w:spacing w:line="259" w:lineRule="auto"/>
              <w:jc w:val="center"/>
              <w:rPr>
                <w:sz w:val="22"/>
                <w:lang w:val="en-US"/>
              </w:rPr>
            </w:pPr>
            <w:r w:rsidRPr="00C224F4">
              <w:rPr>
                <w:sz w:val="22"/>
                <w:lang w:val="en-US"/>
              </w:rPr>
              <w:t>0.0911</w:t>
            </w:r>
          </w:p>
        </w:tc>
        <w:tc>
          <w:tcPr>
            <w:tcW w:w="899" w:type="dxa"/>
            <w:vAlign w:val="center"/>
          </w:tcPr>
          <w:p w:rsidR="006A7C6B" w:rsidRPr="00C224F4" w:rsidRDefault="00C224F4" w:rsidP="006A7C6B">
            <w:pPr>
              <w:spacing w:line="259" w:lineRule="auto"/>
              <w:jc w:val="center"/>
              <w:rPr>
                <w:sz w:val="22"/>
                <w:lang w:val="en-US"/>
              </w:rPr>
            </w:pPr>
            <w:r w:rsidRPr="00C224F4">
              <w:rPr>
                <w:sz w:val="22"/>
                <w:lang w:val="en-US"/>
              </w:rPr>
              <w:t>0.0911</w:t>
            </w:r>
          </w:p>
        </w:tc>
        <w:tc>
          <w:tcPr>
            <w:tcW w:w="899" w:type="dxa"/>
            <w:vAlign w:val="center"/>
          </w:tcPr>
          <w:p w:rsidR="006A7C6B" w:rsidRPr="00C224F4" w:rsidRDefault="00C224F4" w:rsidP="006A7C6B">
            <w:pPr>
              <w:spacing w:line="259" w:lineRule="auto"/>
              <w:jc w:val="center"/>
              <w:rPr>
                <w:sz w:val="22"/>
              </w:rPr>
            </w:pPr>
            <w:r w:rsidRPr="00C224F4">
              <w:rPr>
                <w:sz w:val="22"/>
              </w:rPr>
              <w:t>0.10636</w:t>
            </w:r>
          </w:p>
        </w:tc>
        <w:tc>
          <w:tcPr>
            <w:tcW w:w="899" w:type="dxa"/>
            <w:vAlign w:val="center"/>
          </w:tcPr>
          <w:p w:rsidR="006A7C6B" w:rsidRPr="00C224F4" w:rsidRDefault="00C224F4" w:rsidP="006A7C6B">
            <w:pPr>
              <w:spacing w:line="259" w:lineRule="auto"/>
              <w:jc w:val="center"/>
              <w:rPr>
                <w:sz w:val="22"/>
              </w:rPr>
            </w:pPr>
            <w:r w:rsidRPr="00C224F4">
              <w:rPr>
                <w:sz w:val="22"/>
              </w:rPr>
              <w:t>0.13259</w:t>
            </w:r>
          </w:p>
        </w:tc>
        <w:tc>
          <w:tcPr>
            <w:tcW w:w="899" w:type="dxa"/>
            <w:vAlign w:val="center"/>
          </w:tcPr>
          <w:p w:rsidR="006A7C6B" w:rsidRPr="00C224F4" w:rsidRDefault="00C224F4" w:rsidP="006A7C6B">
            <w:pPr>
              <w:spacing w:line="259" w:lineRule="auto"/>
              <w:jc w:val="center"/>
              <w:rPr>
                <w:sz w:val="22"/>
              </w:rPr>
            </w:pPr>
            <w:r w:rsidRPr="00C224F4">
              <w:rPr>
                <w:sz w:val="22"/>
              </w:rPr>
              <w:t>0.16712</w:t>
            </w:r>
          </w:p>
        </w:tc>
        <w:tc>
          <w:tcPr>
            <w:tcW w:w="899" w:type="dxa"/>
            <w:vAlign w:val="center"/>
          </w:tcPr>
          <w:p w:rsidR="006A7C6B" w:rsidRPr="00C224F4" w:rsidRDefault="00C224F4" w:rsidP="006A7C6B">
            <w:pPr>
              <w:spacing w:line="259" w:lineRule="auto"/>
              <w:jc w:val="center"/>
              <w:rPr>
                <w:sz w:val="22"/>
              </w:rPr>
            </w:pPr>
            <w:r w:rsidRPr="00C224F4">
              <w:rPr>
                <w:sz w:val="22"/>
              </w:rPr>
              <w:t>0.20834</w:t>
            </w:r>
          </w:p>
        </w:tc>
        <w:tc>
          <w:tcPr>
            <w:tcW w:w="899" w:type="dxa"/>
            <w:vAlign w:val="center"/>
          </w:tcPr>
          <w:p w:rsidR="006A7C6B" w:rsidRPr="00C224F4" w:rsidRDefault="00C224F4" w:rsidP="006A7C6B">
            <w:pPr>
              <w:spacing w:line="259" w:lineRule="auto"/>
              <w:jc w:val="center"/>
              <w:rPr>
                <w:sz w:val="22"/>
              </w:rPr>
            </w:pPr>
            <w:r w:rsidRPr="00C224F4">
              <w:rPr>
                <w:sz w:val="22"/>
              </w:rPr>
              <w:t>0.25536</w:t>
            </w:r>
          </w:p>
        </w:tc>
        <w:tc>
          <w:tcPr>
            <w:tcW w:w="899" w:type="dxa"/>
            <w:vAlign w:val="center"/>
          </w:tcPr>
          <w:p w:rsidR="006A7C6B" w:rsidRPr="00C224F4" w:rsidRDefault="00C224F4" w:rsidP="006A7C6B">
            <w:pPr>
              <w:spacing w:line="259" w:lineRule="auto"/>
              <w:jc w:val="center"/>
              <w:rPr>
                <w:sz w:val="22"/>
              </w:rPr>
            </w:pPr>
            <w:r w:rsidRPr="00C224F4">
              <w:rPr>
                <w:sz w:val="22"/>
              </w:rPr>
              <w:t>0.30783</w:t>
            </w:r>
          </w:p>
        </w:tc>
        <w:tc>
          <w:tcPr>
            <w:tcW w:w="899" w:type="dxa"/>
            <w:vAlign w:val="center"/>
          </w:tcPr>
          <w:p w:rsidR="006A7C6B" w:rsidRPr="00C224F4" w:rsidRDefault="00C224F4" w:rsidP="006A7C6B">
            <w:pPr>
              <w:spacing w:line="259" w:lineRule="auto"/>
              <w:jc w:val="center"/>
              <w:rPr>
                <w:sz w:val="22"/>
              </w:rPr>
            </w:pPr>
            <w:r w:rsidRPr="00C224F4">
              <w:rPr>
                <w:sz w:val="22"/>
              </w:rPr>
              <w:t>0.36579</w:t>
            </w:r>
          </w:p>
        </w:tc>
        <w:tc>
          <w:tcPr>
            <w:tcW w:w="899" w:type="dxa"/>
            <w:vAlign w:val="center"/>
          </w:tcPr>
          <w:p w:rsidR="006A7C6B" w:rsidRPr="00C224F4" w:rsidRDefault="00C224F4" w:rsidP="006A7C6B">
            <w:pPr>
              <w:spacing w:line="259" w:lineRule="auto"/>
              <w:jc w:val="center"/>
              <w:rPr>
                <w:sz w:val="22"/>
              </w:rPr>
            </w:pPr>
            <w:r w:rsidRPr="00C224F4">
              <w:rPr>
                <w:sz w:val="22"/>
              </w:rPr>
              <w:t>0.42962</w:t>
            </w:r>
            <w:bookmarkStart w:id="0" w:name="_GoBack"/>
            <w:bookmarkEnd w:id="0"/>
          </w:p>
        </w:tc>
        <w:tc>
          <w:tcPr>
            <w:tcW w:w="465" w:type="dxa"/>
            <w:vAlign w:val="center"/>
          </w:tcPr>
          <w:p w:rsidR="006A7C6B" w:rsidRPr="00C224F4" w:rsidRDefault="006A7C6B" w:rsidP="006A7C6B">
            <w:pPr>
              <w:spacing w:line="259" w:lineRule="auto"/>
              <w:jc w:val="center"/>
              <w:rPr>
                <w:sz w:val="22"/>
                <w:lang w:val="en-US"/>
              </w:rPr>
            </w:pPr>
            <w:r w:rsidRPr="00C224F4">
              <w:rPr>
                <w:sz w:val="22"/>
                <w:lang w:val="en-US"/>
              </w:rPr>
              <w:t>0.5</w:t>
            </w:r>
          </w:p>
        </w:tc>
      </w:tr>
    </w:tbl>
    <w:p w:rsidR="0005124A" w:rsidRDefault="0005124A" w:rsidP="0005124A">
      <w:pPr>
        <w:spacing w:line="259" w:lineRule="auto"/>
        <w:jc w:val="left"/>
      </w:pPr>
      <w:r>
        <w:t>Таблица 1.</w:t>
      </w:r>
    </w:p>
    <w:p w:rsidR="0005124A" w:rsidRPr="0005124A" w:rsidRDefault="0005124A" w:rsidP="0005124A">
      <w:pPr>
        <w:spacing w:line="259" w:lineRule="auto"/>
        <w:jc w:val="left"/>
      </w:pPr>
    </w:p>
    <w:p w:rsidR="0005124A" w:rsidRPr="0005124A" w:rsidRDefault="0005124A" w:rsidP="0005124A">
      <w:pPr>
        <w:contextualSpacing/>
        <w:rPr>
          <w:rFonts w:eastAsiaTheme="minorEastAsia"/>
        </w:rPr>
      </w:pPr>
    </w:p>
    <w:p w:rsidR="0005124A" w:rsidRPr="0005124A" w:rsidRDefault="0005124A" w:rsidP="0005124A">
      <w:pPr>
        <w:pStyle w:val="a3"/>
      </w:pPr>
    </w:p>
    <w:p w:rsidR="00013C58" w:rsidRPr="000333DD" w:rsidRDefault="00013C58" w:rsidP="000333DD">
      <w:pPr>
        <w:rPr>
          <w:rFonts w:eastAsiaTheme="minorEastAsia"/>
        </w:rPr>
      </w:pPr>
    </w:p>
    <w:p w:rsidR="000333DD" w:rsidRPr="000333DD" w:rsidRDefault="000333DD" w:rsidP="007079ED">
      <w:pPr>
        <w:rPr>
          <w:rFonts w:eastAsiaTheme="minorEastAsia"/>
          <w:i/>
        </w:rPr>
      </w:pPr>
    </w:p>
    <w:sectPr w:rsidR="000333DD" w:rsidRPr="000333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D68B8"/>
    <w:multiLevelType w:val="hybridMultilevel"/>
    <w:tmpl w:val="587E4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552546A"/>
    <w:multiLevelType w:val="hybridMultilevel"/>
    <w:tmpl w:val="3B3A7D0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C7"/>
    <w:rsid w:val="00013C58"/>
    <w:rsid w:val="000333DD"/>
    <w:rsid w:val="0005124A"/>
    <w:rsid w:val="00176096"/>
    <w:rsid w:val="002406E3"/>
    <w:rsid w:val="00324DE1"/>
    <w:rsid w:val="003621A4"/>
    <w:rsid w:val="00621FC7"/>
    <w:rsid w:val="006A7C6B"/>
    <w:rsid w:val="007079ED"/>
    <w:rsid w:val="00787EE8"/>
    <w:rsid w:val="00AD4521"/>
    <w:rsid w:val="00C224F4"/>
    <w:rsid w:val="00E964B5"/>
    <w:rsid w:val="00F31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50E1"/>
  <w15:chartTrackingRefBased/>
  <w15:docId w15:val="{E52C3578-C403-486D-AADA-929D762C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DE1"/>
    <w:pPr>
      <w:spacing w:line="240" w:lineRule="auto"/>
      <w:jc w:val="both"/>
    </w:pPr>
    <w:rPr>
      <w:rFonts w:ascii="Times New Roman" w:hAnsi="Times New Roman"/>
      <w:sz w:val="28"/>
    </w:rPr>
  </w:style>
  <w:style w:type="paragraph" w:styleId="1">
    <w:name w:val="heading 1"/>
    <w:basedOn w:val="a"/>
    <w:next w:val="a"/>
    <w:link w:val="10"/>
    <w:uiPriority w:val="9"/>
    <w:qFormat/>
    <w:rsid w:val="00324DE1"/>
    <w:pPr>
      <w:keepNext/>
      <w:keepLines/>
      <w:spacing w:before="240" w:after="0"/>
      <w:jc w:val="left"/>
      <w:outlineLvl w:val="0"/>
    </w:pPr>
    <w:rPr>
      <w:rFonts w:eastAsiaTheme="majorEastAsia" w:cstheme="majorBidi"/>
      <w:b/>
      <w:sz w:val="32"/>
      <w:szCs w:val="32"/>
    </w:rPr>
  </w:style>
  <w:style w:type="paragraph" w:styleId="2">
    <w:name w:val="heading 2"/>
    <w:basedOn w:val="a"/>
    <w:next w:val="a"/>
    <w:link w:val="20"/>
    <w:uiPriority w:val="9"/>
    <w:unhideWhenUsed/>
    <w:qFormat/>
    <w:rsid w:val="00324DE1"/>
    <w:pPr>
      <w:keepNext/>
      <w:keepLines/>
      <w:spacing w:before="40" w:after="0"/>
      <w:outlineLvl w:val="1"/>
    </w:pPr>
    <w:rPr>
      <w:rFonts w:eastAsiaTheme="majorEastAsia" w:cstheme="majorBidi"/>
      <w:b/>
      <w:color w:val="000000" w:themeColor="tex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24DE1"/>
    <w:pPr>
      <w:spacing w:after="0" w:line="360" w:lineRule="auto"/>
      <w:jc w:val="both"/>
    </w:pPr>
    <w:rPr>
      <w:rFonts w:ascii="Times New Roman" w:hAnsi="Times New Roman"/>
      <w:b/>
      <w:sz w:val="28"/>
    </w:rPr>
  </w:style>
  <w:style w:type="character" w:customStyle="1" w:styleId="10">
    <w:name w:val="Заголовок 1 Знак"/>
    <w:basedOn w:val="a0"/>
    <w:link w:val="1"/>
    <w:uiPriority w:val="9"/>
    <w:rsid w:val="00324DE1"/>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324DE1"/>
    <w:rPr>
      <w:rFonts w:ascii="Times New Roman" w:eastAsiaTheme="majorEastAsia" w:hAnsi="Times New Roman" w:cstheme="majorBidi"/>
      <w:b/>
      <w:color w:val="000000" w:themeColor="text1"/>
      <w:sz w:val="36"/>
      <w:szCs w:val="26"/>
    </w:rPr>
  </w:style>
  <w:style w:type="character" w:styleId="a4">
    <w:name w:val="Placeholder Text"/>
    <w:basedOn w:val="a0"/>
    <w:uiPriority w:val="99"/>
    <w:semiHidden/>
    <w:rsid w:val="00324DE1"/>
    <w:rPr>
      <w:color w:val="808080"/>
    </w:rPr>
  </w:style>
  <w:style w:type="paragraph" w:styleId="a5">
    <w:name w:val="List Paragraph"/>
    <w:basedOn w:val="a"/>
    <w:uiPriority w:val="34"/>
    <w:qFormat/>
    <w:rsid w:val="0005124A"/>
    <w:pPr>
      <w:ind w:left="720"/>
      <w:contextualSpacing/>
    </w:pPr>
  </w:style>
  <w:style w:type="table" w:styleId="a6">
    <w:name w:val="Table Grid"/>
    <w:basedOn w:val="a1"/>
    <w:uiPriority w:val="39"/>
    <w:rsid w:val="00051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36765">
      <w:bodyDiv w:val="1"/>
      <w:marLeft w:val="0"/>
      <w:marRight w:val="0"/>
      <w:marTop w:val="0"/>
      <w:marBottom w:val="0"/>
      <w:divBdr>
        <w:top w:val="none" w:sz="0" w:space="0" w:color="auto"/>
        <w:left w:val="none" w:sz="0" w:space="0" w:color="auto"/>
        <w:bottom w:val="none" w:sz="0" w:space="0" w:color="auto"/>
        <w:right w:val="none" w:sz="0" w:space="0" w:color="auto"/>
      </w:divBdr>
      <w:divsChild>
        <w:div w:id="1653412092">
          <w:marLeft w:val="0"/>
          <w:marRight w:val="0"/>
          <w:marTop w:val="0"/>
          <w:marBottom w:val="0"/>
          <w:divBdr>
            <w:top w:val="none" w:sz="0" w:space="0" w:color="auto"/>
            <w:left w:val="none" w:sz="0" w:space="0" w:color="auto"/>
            <w:bottom w:val="none" w:sz="0" w:space="0" w:color="auto"/>
            <w:right w:val="none" w:sz="0" w:space="0" w:color="auto"/>
          </w:divBdr>
          <w:divsChild>
            <w:div w:id="10627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1693">
      <w:bodyDiv w:val="1"/>
      <w:marLeft w:val="0"/>
      <w:marRight w:val="0"/>
      <w:marTop w:val="0"/>
      <w:marBottom w:val="0"/>
      <w:divBdr>
        <w:top w:val="none" w:sz="0" w:space="0" w:color="auto"/>
        <w:left w:val="none" w:sz="0" w:space="0" w:color="auto"/>
        <w:bottom w:val="none" w:sz="0" w:space="0" w:color="auto"/>
        <w:right w:val="none" w:sz="0" w:space="0" w:color="auto"/>
      </w:divBdr>
      <w:divsChild>
        <w:div w:id="1685403279">
          <w:marLeft w:val="0"/>
          <w:marRight w:val="0"/>
          <w:marTop w:val="0"/>
          <w:marBottom w:val="0"/>
          <w:divBdr>
            <w:top w:val="none" w:sz="0" w:space="0" w:color="auto"/>
            <w:left w:val="none" w:sz="0" w:space="0" w:color="auto"/>
            <w:bottom w:val="none" w:sz="0" w:space="0" w:color="auto"/>
            <w:right w:val="none" w:sz="0" w:space="0" w:color="auto"/>
          </w:divBdr>
          <w:divsChild>
            <w:div w:id="9941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0722">
      <w:bodyDiv w:val="1"/>
      <w:marLeft w:val="0"/>
      <w:marRight w:val="0"/>
      <w:marTop w:val="0"/>
      <w:marBottom w:val="0"/>
      <w:divBdr>
        <w:top w:val="none" w:sz="0" w:space="0" w:color="auto"/>
        <w:left w:val="none" w:sz="0" w:space="0" w:color="auto"/>
        <w:bottom w:val="none" w:sz="0" w:space="0" w:color="auto"/>
        <w:right w:val="none" w:sz="0" w:space="0" w:color="auto"/>
      </w:divBdr>
      <w:divsChild>
        <w:div w:id="497766947">
          <w:marLeft w:val="0"/>
          <w:marRight w:val="0"/>
          <w:marTop w:val="0"/>
          <w:marBottom w:val="0"/>
          <w:divBdr>
            <w:top w:val="none" w:sz="0" w:space="0" w:color="auto"/>
            <w:left w:val="none" w:sz="0" w:space="0" w:color="auto"/>
            <w:bottom w:val="none" w:sz="0" w:space="0" w:color="auto"/>
            <w:right w:val="none" w:sz="0" w:space="0" w:color="auto"/>
          </w:divBdr>
          <w:divsChild>
            <w:div w:id="19177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209">
      <w:bodyDiv w:val="1"/>
      <w:marLeft w:val="0"/>
      <w:marRight w:val="0"/>
      <w:marTop w:val="0"/>
      <w:marBottom w:val="0"/>
      <w:divBdr>
        <w:top w:val="none" w:sz="0" w:space="0" w:color="auto"/>
        <w:left w:val="none" w:sz="0" w:space="0" w:color="auto"/>
        <w:bottom w:val="none" w:sz="0" w:space="0" w:color="auto"/>
        <w:right w:val="none" w:sz="0" w:space="0" w:color="auto"/>
      </w:divBdr>
      <w:divsChild>
        <w:div w:id="755595654">
          <w:marLeft w:val="0"/>
          <w:marRight w:val="0"/>
          <w:marTop w:val="0"/>
          <w:marBottom w:val="0"/>
          <w:divBdr>
            <w:top w:val="none" w:sz="0" w:space="0" w:color="auto"/>
            <w:left w:val="none" w:sz="0" w:space="0" w:color="auto"/>
            <w:bottom w:val="none" w:sz="0" w:space="0" w:color="auto"/>
            <w:right w:val="none" w:sz="0" w:space="0" w:color="auto"/>
          </w:divBdr>
          <w:divsChild>
            <w:div w:id="15747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092">
      <w:bodyDiv w:val="1"/>
      <w:marLeft w:val="0"/>
      <w:marRight w:val="0"/>
      <w:marTop w:val="0"/>
      <w:marBottom w:val="0"/>
      <w:divBdr>
        <w:top w:val="none" w:sz="0" w:space="0" w:color="auto"/>
        <w:left w:val="none" w:sz="0" w:space="0" w:color="auto"/>
        <w:bottom w:val="none" w:sz="0" w:space="0" w:color="auto"/>
        <w:right w:val="none" w:sz="0" w:space="0" w:color="auto"/>
      </w:divBdr>
      <w:divsChild>
        <w:div w:id="1548419254">
          <w:marLeft w:val="0"/>
          <w:marRight w:val="0"/>
          <w:marTop w:val="0"/>
          <w:marBottom w:val="0"/>
          <w:divBdr>
            <w:top w:val="none" w:sz="0" w:space="0" w:color="auto"/>
            <w:left w:val="none" w:sz="0" w:space="0" w:color="auto"/>
            <w:bottom w:val="none" w:sz="0" w:space="0" w:color="auto"/>
            <w:right w:val="none" w:sz="0" w:space="0" w:color="auto"/>
          </w:divBdr>
          <w:divsChild>
            <w:div w:id="850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994">
      <w:bodyDiv w:val="1"/>
      <w:marLeft w:val="0"/>
      <w:marRight w:val="0"/>
      <w:marTop w:val="0"/>
      <w:marBottom w:val="0"/>
      <w:divBdr>
        <w:top w:val="none" w:sz="0" w:space="0" w:color="auto"/>
        <w:left w:val="none" w:sz="0" w:space="0" w:color="auto"/>
        <w:bottom w:val="none" w:sz="0" w:space="0" w:color="auto"/>
        <w:right w:val="none" w:sz="0" w:space="0" w:color="auto"/>
      </w:divBdr>
      <w:divsChild>
        <w:div w:id="1485002544">
          <w:marLeft w:val="0"/>
          <w:marRight w:val="0"/>
          <w:marTop w:val="0"/>
          <w:marBottom w:val="0"/>
          <w:divBdr>
            <w:top w:val="none" w:sz="0" w:space="0" w:color="auto"/>
            <w:left w:val="none" w:sz="0" w:space="0" w:color="auto"/>
            <w:bottom w:val="none" w:sz="0" w:space="0" w:color="auto"/>
            <w:right w:val="none" w:sz="0" w:space="0" w:color="auto"/>
          </w:divBdr>
          <w:divsChild>
            <w:div w:id="976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173">
      <w:bodyDiv w:val="1"/>
      <w:marLeft w:val="0"/>
      <w:marRight w:val="0"/>
      <w:marTop w:val="0"/>
      <w:marBottom w:val="0"/>
      <w:divBdr>
        <w:top w:val="none" w:sz="0" w:space="0" w:color="auto"/>
        <w:left w:val="none" w:sz="0" w:space="0" w:color="auto"/>
        <w:bottom w:val="none" w:sz="0" w:space="0" w:color="auto"/>
        <w:right w:val="none" w:sz="0" w:space="0" w:color="auto"/>
      </w:divBdr>
      <w:divsChild>
        <w:div w:id="437214401">
          <w:marLeft w:val="0"/>
          <w:marRight w:val="0"/>
          <w:marTop w:val="0"/>
          <w:marBottom w:val="0"/>
          <w:divBdr>
            <w:top w:val="none" w:sz="0" w:space="0" w:color="auto"/>
            <w:left w:val="none" w:sz="0" w:space="0" w:color="auto"/>
            <w:bottom w:val="none" w:sz="0" w:space="0" w:color="auto"/>
            <w:right w:val="none" w:sz="0" w:space="0" w:color="auto"/>
          </w:divBdr>
          <w:divsChild>
            <w:div w:id="6458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306">
      <w:bodyDiv w:val="1"/>
      <w:marLeft w:val="0"/>
      <w:marRight w:val="0"/>
      <w:marTop w:val="0"/>
      <w:marBottom w:val="0"/>
      <w:divBdr>
        <w:top w:val="none" w:sz="0" w:space="0" w:color="auto"/>
        <w:left w:val="none" w:sz="0" w:space="0" w:color="auto"/>
        <w:bottom w:val="none" w:sz="0" w:space="0" w:color="auto"/>
        <w:right w:val="none" w:sz="0" w:space="0" w:color="auto"/>
      </w:divBdr>
      <w:divsChild>
        <w:div w:id="2095322587">
          <w:marLeft w:val="0"/>
          <w:marRight w:val="0"/>
          <w:marTop w:val="0"/>
          <w:marBottom w:val="0"/>
          <w:divBdr>
            <w:top w:val="none" w:sz="0" w:space="0" w:color="auto"/>
            <w:left w:val="none" w:sz="0" w:space="0" w:color="auto"/>
            <w:bottom w:val="none" w:sz="0" w:space="0" w:color="auto"/>
            <w:right w:val="none" w:sz="0" w:space="0" w:color="auto"/>
          </w:divBdr>
          <w:divsChild>
            <w:div w:id="19953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647</Words>
  <Characters>3688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Vuf Den</dc:creator>
  <cp:keywords/>
  <dc:description/>
  <cp:lastModifiedBy>Vuf Den</cp:lastModifiedBy>
  <cp:revision>3</cp:revision>
  <dcterms:created xsi:type="dcterms:W3CDTF">2020-06-02T00:24:00Z</dcterms:created>
  <dcterms:modified xsi:type="dcterms:W3CDTF">2020-06-07T12:31:00Z</dcterms:modified>
</cp:coreProperties>
</file>