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CF2" w:rsidRDefault="000B6CF2" w:rsidP="00E1735E">
      <w:pPr>
        <w:pStyle w:val="NoSpacing"/>
        <w:rPr>
          <w:rFonts w:cstheme="minorHAnsi"/>
          <w:sz w:val="20"/>
          <w:szCs w:val="20"/>
        </w:rPr>
      </w:pPr>
    </w:p>
    <w:p w:rsidR="002E3897" w:rsidRDefault="002E3897" w:rsidP="002E3897">
      <w:pPr>
        <w:pStyle w:val="NoSpacing"/>
        <w:jc w:val="right"/>
        <w:rPr>
          <w:rFonts w:cstheme="minorHAnsi"/>
          <w:sz w:val="20"/>
          <w:szCs w:val="20"/>
        </w:rPr>
      </w:pPr>
      <w:bookmarkStart w:id="0" w:name="DiscontContractDate"/>
      <w:bookmarkStart w:id="1" w:name="_GoBack"/>
      <w:bookmarkEnd w:id="0"/>
      <w:bookmarkEnd w:id="1"/>
    </w:p>
    <w:p w:rsidR="00E1735E" w:rsidRDefault="00E1735E" w:rsidP="00E1735E">
      <w:pPr>
        <w:pStyle w:val="NoSpacing"/>
        <w:rPr>
          <w:rFonts w:cstheme="minorHAnsi"/>
          <w:sz w:val="20"/>
          <w:szCs w:val="20"/>
        </w:rPr>
      </w:pPr>
    </w:p>
    <w:p w:rsidR="002E3897" w:rsidRDefault="002E3897" w:rsidP="00E1735E">
      <w:pPr>
        <w:pStyle w:val="NoSpacing"/>
        <w:rPr>
          <w:rFonts w:cstheme="minorHAnsi"/>
          <w:sz w:val="20"/>
          <w:szCs w:val="20"/>
          <w:lang w:val="de-DE"/>
        </w:rPr>
      </w:pPr>
      <w:r>
        <w:rPr>
          <w:rFonts w:cstheme="minorHAnsi"/>
          <w:sz w:val="20"/>
          <w:szCs w:val="20"/>
          <w:lang w:val="de-DE"/>
        </w:rPr>
        <w:t>An die</w:t>
      </w:r>
    </w:p>
    <w:p w:rsidR="002E3897" w:rsidRDefault="002E3897" w:rsidP="00E1735E">
      <w:pPr>
        <w:pStyle w:val="NoSpacing"/>
        <w:rPr>
          <w:rFonts w:cstheme="minorHAnsi"/>
          <w:sz w:val="20"/>
          <w:szCs w:val="20"/>
          <w:lang w:val="de-DE"/>
        </w:rPr>
      </w:pPr>
      <w:bookmarkStart w:id="2" w:name="OurBankName"/>
      <w:bookmarkEnd w:id="2"/>
    </w:p>
    <w:p w:rsidR="002E3897" w:rsidRDefault="002E3897" w:rsidP="00E1735E">
      <w:pPr>
        <w:pStyle w:val="NoSpacing"/>
        <w:rPr>
          <w:rFonts w:cstheme="minorHAnsi"/>
          <w:sz w:val="20"/>
          <w:szCs w:val="20"/>
          <w:lang w:val="de-DE"/>
        </w:rPr>
      </w:pPr>
      <w:bookmarkStart w:id="3" w:name="OurBankBranch"/>
      <w:bookmarkEnd w:id="3"/>
    </w:p>
    <w:p w:rsidR="002E3897" w:rsidRDefault="002E3897" w:rsidP="00E1735E">
      <w:pPr>
        <w:pStyle w:val="NoSpacing"/>
        <w:rPr>
          <w:rFonts w:cstheme="minorHAnsi"/>
          <w:sz w:val="20"/>
          <w:szCs w:val="20"/>
          <w:lang w:val="de-DE"/>
        </w:rPr>
      </w:pPr>
      <w:bookmarkStart w:id="4" w:name="OurBankStrasse"/>
      <w:bookmarkEnd w:id="4"/>
    </w:p>
    <w:p w:rsidR="002E3897" w:rsidRPr="002E3897" w:rsidRDefault="002E3897" w:rsidP="00E1735E">
      <w:pPr>
        <w:pStyle w:val="NoSpacing"/>
        <w:rPr>
          <w:rFonts w:cstheme="minorHAnsi"/>
          <w:sz w:val="20"/>
          <w:szCs w:val="20"/>
          <w:lang w:val="de-DE"/>
        </w:rPr>
      </w:pPr>
      <w:bookmarkStart w:id="5" w:name="OurBankPLZ"/>
      <w:bookmarkEnd w:id="5"/>
      <w:r>
        <w:rPr>
          <w:rFonts w:cstheme="minorHAnsi"/>
          <w:sz w:val="20"/>
          <w:szCs w:val="20"/>
          <w:lang w:val="de-DE"/>
        </w:rPr>
        <w:t xml:space="preserve"> </w:t>
      </w:r>
      <w:bookmarkStart w:id="6" w:name="OurBankOrt"/>
      <w:bookmarkEnd w:id="6"/>
    </w:p>
    <w:p w:rsidR="002E3897" w:rsidRPr="00E1735E" w:rsidRDefault="002E3897" w:rsidP="00E1735E">
      <w:pPr>
        <w:pStyle w:val="NoSpacing"/>
        <w:rPr>
          <w:rFonts w:cstheme="minorHAnsi"/>
          <w:sz w:val="20"/>
          <w:szCs w:val="20"/>
        </w:rPr>
      </w:pPr>
    </w:p>
    <w:p w:rsidR="00E1735E" w:rsidRPr="00E1735E" w:rsidRDefault="00E1735E" w:rsidP="00E1735E">
      <w:pPr>
        <w:pStyle w:val="NoSpacing"/>
        <w:ind w:left="5103" w:hanging="2976"/>
        <w:rPr>
          <w:rFonts w:cstheme="minorHAnsi"/>
          <w:sz w:val="20"/>
          <w:szCs w:val="20"/>
          <w:lang w:val="de-DE"/>
        </w:rPr>
      </w:pPr>
      <w:proofErr w:type="spellStart"/>
      <w:r w:rsidRPr="00E1735E">
        <w:rPr>
          <w:rFonts w:cstheme="minorHAnsi"/>
          <w:sz w:val="20"/>
          <w:szCs w:val="20"/>
        </w:rPr>
        <w:t>Wir</w:t>
      </w:r>
      <w:proofErr w:type="spellEnd"/>
      <w:r w:rsidRPr="00E1735E">
        <w:rPr>
          <w:rFonts w:cstheme="minorHAnsi"/>
          <w:sz w:val="20"/>
          <w:szCs w:val="20"/>
        </w:rPr>
        <w:t xml:space="preserve">, die </w:t>
      </w:r>
      <w:proofErr w:type="spellStart"/>
      <w:r w:rsidRPr="00E1735E">
        <w:rPr>
          <w:rFonts w:cstheme="minorHAnsi"/>
          <w:sz w:val="20"/>
          <w:szCs w:val="20"/>
        </w:rPr>
        <w:t>unterzeichnende</w:t>
      </w:r>
      <w:proofErr w:type="spellEnd"/>
      <w:r w:rsidRPr="00E1735E">
        <w:rPr>
          <w:rFonts w:cstheme="minorHAnsi"/>
          <w:sz w:val="20"/>
          <w:szCs w:val="20"/>
        </w:rPr>
        <w:t xml:space="preserve"> Firma:</w:t>
      </w:r>
      <w:r w:rsidRPr="00E1735E">
        <w:rPr>
          <w:rFonts w:cstheme="minorHAnsi"/>
          <w:sz w:val="20"/>
          <w:szCs w:val="20"/>
          <w:lang w:val="de-DE"/>
        </w:rPr>
        <w:t xml:space="preserve"> </w:t>
      </w:r>
      <w:bookmarkStart w:id="7" w:name="CustomerName"/>
      <w:bookmarkEnd w:id="7"/>
    </w:p>
    <w:p w:rsidR="00E1735E" w:rsidRPr="00E1735E" w:rsidRDefault="00E1735E" w:rsidP="00E1735E">
      <w:pPr>
        <w:pStyle w:val="NoSpacing"/>
        <w:ind w:left="4320"/>
        <w:rPr>
          <w:rFonts w:cstheme="minorHAnsi"/>
          <w:sz w:val="20"/>
          <w:szCs w:val="20"/>
          <w:lang w:val="de-DE"/>
        </w:rPr>
      </w:pPr>
      <w:r>
        <w:rPr>
          <w:rFonts w:cstheme="minorHAnsi"/>
          <w:sz w:val="20"/>
          <w:szCs w:val="20"/>
          <w:lang w:val="de-DE"/>
        </w:rPr>
        <w:t xml:space="preserve">          </w:t>
      </w:r>
      <w:bookmarkStart w:id="8" w:name="CustomerStrasse"/>
      <w:bookmarkEnd w:id="8"/>
    </w:p>
    <w:p w:rsidR="00E1735E" w:rsidRPr="00E1735E" w:rsidRDefault="004D7140" w:rsidP="00E1735E">
      <w:pPr>
        <w:pStyle w:val="NoSpacing"/>
        <w:ind w:left="4320"/>
        <w:rPr>
          <w:rFonts w:cstheme="minorHAnsi"/>
          <w:sz w:val="20"/>
          <w:szCs w:val="20"/>
          <w:lang w:val="de-DE"/>
        </w:rPr>
      </w:pPr>
      <w:r>
        <w:rPr>
          <w:rFonts w:cstheme="minorHAnsi"/>
          <w:sz w:val="20"/>
          <w:szCs w:val="20"/>
          <w:lang w:val="de-DE"/>
        </w:rPr>
        <w:t xml:space="preserve">        </w:t>
      </w:r>
      <w:r w:rsidR="00E63065">
        <w:rPr>
          <w:rFonts w:cstheme="minorHAnsi"/>
          <w:sz w:val="20"/>
          <w:szCs w:val="20"/>
          <w:lang w:val="de-DE"/>
        </w:rPr>
        <w:t xml:space="preserve"> </w:t>
      </w:r>
      <w:r>
        <w:rPr>
          <w:rFonts w:cstheme="minorHAnsi"/>
          <w:sz w:val="20"/>
          <w:szCs w:val="20"/>
          <w:lang w:val="de-DE"/>
        </w:rPr>
        <w:t xml:space="preserve"> </w:t>
      </w:r>
      <w:bookmarkStart w:id="9" w:name="CustomerPLZ"/>
      <w:bookmarkEnd w:id="9"/>
      <w:r>
        <w:rPr>
          <w:rFonts w:cstheme="minorHAnsi"/>
          <w:sz w:val="20"/>
          <w:szCs w:val="20"/>
          <w:lang w:val="de-DE"/>
        </w:rPr>
        <w:t xml:space="preserve"> </w:t>
      </w:r>
      <w:bookmarkStart w:id="10" w:name="CustomerOrt"/>
      <w:bookmarkEnd w:id="10"/>
    </w:p>
    <w:p w:rsidR="00E1735E" w:rsidRPr="00E1735E" w:rsidRDefault="00E1735E" w:rsidP="00E1735E">
      <w:pPr>
        <w:pStyle w:val="NoSpacing"/>
        <w:rPr>
          <w:rFonts w:cstheme="minorHAnsi"/>
          <w:sz w:val="20"/>
          <w:szCs w:val="20"/>
          <w:lang w:val="de-DE"/>
        </w:rPr>
      </w:pPr>
    </w:p>
    <w:p w:rsidR="00E1735E" w:rsidRDefault="00E1735E" w:rsidP="00E1735E">
      <w:pPr>
        <w:pStyle w:val="NoSpacing"/>
        <w:rPr>
          <w:rFonts w:cstheme="minorHAnsi"/>
          <w:sz w:val="20"/>
          <w:szCs w:val="20"/>
          <w:lang w:val="de-DE"/>
        </w:rPr>
      </w:pPr>
      <w:r w:rsidRPr="00E1735E">
        <w:rPr>
          <w:rFonts w:cstheme="minorHAnsi"/>
          <w:sz w:val="20"/>
          <w:szCs w:val="20"/>
          <w:lang w:val="de-DE"/>
        </w:rPr>
        <w:t xml:space="preserve">bestätigen, dass wir mit dem Inhalt des nachstehenden Schreibens einverstanden sind und verkaufen </w:t>
      </w:r>
      <w:r w:rsidR="000B6CF2" w:rsidRPr="00E1735E">
        <w:rPr>
          <w:rFonts w:cstheme="minorHAnsi"/>
          <w:sz w:val="20"/>
          <w:szCs w:val="20"/>
          <w:lang w:val="de-DE"/>
        </w:rPr>
        <w:t>und treten</w:t>
      </w:r>
      <w:r w:rsidRPr="00E1735E">
        <w:rPr>
          <w:rFonts w:cstheme="minorHAnsi"/>
          <w:sz w:val="20"/>
          <w:szCs w:val="20"/>
          <w:lang w:val="de-DE"/>
        </w:rPr>
        <w:t xml:space="preserve"> hiermit </w:t>
      </w:r>
      <w:r w:rsidR="00E63065" w:rsidRPr="00A32203">
        <w:rPr>
          <w:rFonts w:cstheme="minorHAnsi"/>
          <w:sz w:val="20"/>
          <w:szCs w:val="20"/>
          <w:lang w:val="de-DE"/>
        </w:rPr>
        <w:t>der</w:t>
      </w:r>
      <w:r w:rsidR="002E3897">
        <w:rPr>
          <w:rFonts w:cstheme="minorHAnsi"/>
          <w:sz w:val="20"/>
          <w:szCs w:val="20"/>
          <w:lang w:val="de-DE"/>
        </w:rPr>
        <w:t xml:space="preserve"> </w:t>
      </w:r>
      <w:bookmarkStart w:id="11" w:name="OurBankALL"/>
      <w:bookmarkEnd w:id="11"/>
      <w:r w:rsidR="003E39DE">
        <w:rPr>
          <w:rFonts w:cstheme="minorHAnsi"/>
          <w:sz w:val="20"/>
          <w:szCs w:val="20"/>
          <w:lang w:val="de-DE"/>
        </w:rPr>
        <w:t xml:space="preserve"> </w:t>
      </w:r>
      <w:r w:rsidR="003E39DE">
        <w:rPr>
          <w:rFonts w:cstheme="minorHAnsi"/>
          <w:sz w:val="20"/>
          <w:szCs w:val="20"/>
          <w:lang w:val="de-DE"/>
        </w:rPr>
        <w:fldChar w:fldCharType="begin"/>
      </w:r>
      <w:r w:rsidR="003E39DE">
        <w:rPr>
          <w:rFonts w:cstheme="minorHAnsi"/>
          <w:sz w:val="20"/>
          <w:szCs w:val="20"/>
          <w:lang w:val="de-DE"/>
        </w:rPr>
        <w:instrText xml:space="preserve"> REF OurBankName </w:instrText>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w:instrText>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OurBankName \h </w:instrText>
      </w:r>
      <w:r w:rsidR="003E39DE">
        <w:rPr>
          <w:rFonts w:cstheme="minorHAnsi"/>
          <w:sz w:val="20"/>
          <w:szCs w:val="20"/>
          <w:lang w:val="de-DE"/>
        </w:rPr>
      </w:r>
      <w:r w:rsidR="003E39DE">
        <w:rPr>
          <w:rFonts w:cstheme="minorHAnsi"/>
          <w:sz w:val="20"/>
          <w:szCs w:val="20"/>
          <w:lang w:val="de-DE"/>
        </w:rPr>
        <w:fldChar w:fldCharType="end"/>
      </w:r>
      <w:r w:rsidR="004D7140" w:rsidRPr="00A32203">
        <w:rPr>
          <w:rFonts w:cstheme="minorHAnsi"/>
          <w:sz w:val="20"/>
          <w:szCs w:val="20"/>
          <w:lang w:val="de-DE"/>
        </w:rPr>
        <w:t xml:space="preserve"> </w:t>
      </w:r>
      <w:r w:rsidRPr="00A32203">
        <w:rPr>
          <w:rFonts w:cstheme="minorHAnsi"/>
          <w:sz w:val="20"/>
          <w:szCs w:val="20"/>
          <w:lang w:val="de-DE"/>
        </w:rPr>
        <w:t>,</w:t>
      </w:r>
      <w:r w:rsidRPr="00E1735E">
        <w:rPr>
          <w:rFonts w:cstheme="minorHAnsi"/>
          <w:sz w:val="20"/>
          <w:szCs w:val="20"/>
          <w:lang w:val="de-DE"/>
        </w:rPr>
        <w:t xml:space="preserve"> nachstehend „CCB Frankfurt“ genannt, die Zahlungsansprüche ab aus dem</w:t>
      </w:r>
    </w:p>
    <w:p w:rsidR="000B6CF2" w:rsidRDefault="000B6CF2" w:rsidP="00E1735E">
      <w:pPr>
        <w:pStyle w:val="NoSpacing"/>
        <w:rPr>
          <w:rFonts w:cstheme="minorHAnsi"/>
          <w:sz w:val="20"/>
          <w:szCs w:val="20"/>
          <w:lang w:val="de-DE"/>
        </w:rPr>
      </w:pPr>
    </w:p>
    <w:tbl>
      <w:tblPr>
        <w:tblW w:w="9045" w:type="dxa"/>
        <w:tblInd w:w="-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83"/>
        <w:gridCol w:w="6762"/>
      </w:tblGrid>
      <w:tr w:rsidR="000B6CF2" w:rsidTr="0012455C">
        <w:trPr>
          <w:trHeight w:val="255"/>
        </w:trPr>
        <w:tc>
          <w:tcPr>
            <w:tcW w:w="2283" w:type="dxa"/>
            <w:tcBorders>
              <w:right w:val="single" w:sz="4" w:space="0" w:color="auto"/>
            </w:tcBorders>
            <w:vAlign w:val="center"/>
          </w:tcPr>
          <w:p w:rsidR="000B6CF2" w:rsidRDefault="000B6CF2" w:rsidP="000B6CF2">
            <w:pPr>
              <w:pStyle w:val="NoSpacing"/>
              <w:ind w:left="15"/>
              <w:rPr>
                <w:rFonts w:cstheme="minorHAnsi"/>
                <w:sz w:val="20"/>
                <w:szCs w:val="20"/>
                <w:lang w:val="de-DE"/>
              </w:rPr>
            </w:pPr>
            <w:proofErr w:type="spellStart"/>
            <w:r w:rsidRPr="00E1735E">
              <w:rPr>
                <w:rFonts w:cstheme="minorHAnsi"/>
                <w:sz w:val="20"/>
                <w:szCs w:val="20"/>
              </w:rPr>
              <w:t>Akkreditiv</w:t>
            </w:r>
            <w:proofErr w:type="spellEnd"/>
            <w:r w:rsidRPr="00E1735E">
              <w:rPr>
                <w:rFonts w:cstheme="minorHAnsi"/>
                <w:sz w:val="20"/>
                <w:szCs w:val="20"/>
              </w:rPr>
              <w:t xml:space="preserve"> </w:t>
            </w:r>
            <w:proofErr w:type="spellStart"/>
            <w:r w:rsidRPr="00E1735E">
              <w:rPr>
                <w:rFonts w:cstheme="minorHAnsi"/>
                <w:sz w:val="20"/>
                <w:szCs w:val="20"/>
              </w:rPr>
              <w:t>Nr</w:t>
            </w:r>
            <w:proofErr w:type="spellEnd"/>
            <w:r w:rsidRPr="00E1735E">
              <w:rPr>
                <w:rFonts w:cstheme="minorHAnsi"/>
                <w:sz w:val="20"/>
                <w:szCs w:val="20"/>
              </w:rPr>
              <w:t>.:</w:t>
            </w:r>
          </w:p>
        </w:tc>
        <w:tc>
          <w:tcPr>
            <w:tcW w:w="6762" w:type="dxa"/>
            <w:tcBorders>
              <w:left w:val="single" w:sz="4" w:space="0" w:color="auto"/>
            </w:tcBorders>
            <w:vAlign w:val="center"/>
          </w:tcPr>
          <w:p w:rsidR="000B6CF2" w:rsidRDefault="000B6CF2" w:rsidP="000B6CF2">
            <w:pPr>
              <w:pStyle w:val="NoSpacing"/>
              <w:ind w:left="15"/>
              <w:rPr>
                <w:rFonts w:cstheme="minorHAnsi"/>
                <w:sz w:val="20"/>
                <w:szCs w:val="20"/>
                <w:lang w:val="de-DE"/>
              </w:rPr>
            </w:pPr>
            <w:bookmarkStart w:id="12" w:name="LcReference1"/>
            <w:bookmarkEnd w:id="12"/>
          </w:p>
        </w:tc>
      </w:tr>
      <w:tr w:rsidR="000B6CF2" w:rsidRPr="000B6CF2" w:rsidTr="0012455C">
        <w:trPr>
          <w:trHeight w:val="269"/>
        </w:trPr>
        <w:tc>
          <w:tcPr>
            <w:tcW w:w="2283" w:type="dxa"/>
            <w:tcBorders>
              <w:right w:val="single" w:sz="4" w:space="0" w:color="auto"/>
            </w:tcBorders>
            <w:vAlign w:val="center"/>
          </w:tcPr>
          <w:p w:rsidR="000B6CF2" w:rsidRDefault="000B6CF2" w:rsidP="000B6CF2">
            <w:pPr>
              <w:pStyle w:val="NoSpacing"/>
              <w:ind w:left="15"/>
              <w:rPr>
                <w:rFonts w:cstheme="minorHAnsi"/>
                <w:sz w:val="20"/>
                <w:szCs w:val="20"/>
                <w:lang w:val="de-DE"/>
              </w:rPr>
            </w:pPr>
            <w:proofErr w:type="spellStart"/>
            <w:r w:rsidRPr="00E1735E">
              <w:rPr>
                <w:rFonts w:cstheme="minorHAnsi"/>
                <w:sz w:val="20"/>
                <w:szCs w:val="20"/>
              </w:rPr>
              <w:t>Ausstellende</w:t>
            </w:r>
            <w:proofErr w:type="spellEnd"/>
            <w:r w:rsidRPr="00E1735E">
              <w:rPr>
                <w:rFonts w:cstheme="minorHAnsi"/>
                <w:sz w:val="20"/>
                <w:szCs w:val="20"/>
              </w:rPr>
              <w:t xml:space="preserve"> Bank</w:t>
            </w:r>
          </w:p>
        </w:tc>
        <w:tc>
          <w:tcPr>
            <w:tcW w:w="6762" w:type="dxa"/>
            <w:tcBorders>
              <w:left w:val="single" w:sz="4" w:space="0" w:color="auto"/>
            </w:tcBorders>
            <w:vAlign w:val="center"/>
          </w:tcPr>
          <w:p w:rsidR="000B6CF2" w:rsidRPr="000B6CF2" w:rsidRDefault="000B6CF2" w:rsidP="00B329E3">
            <w:pPr>
              <w:pStyle w:val="NoSpacing"/>
              <w:rPr>
                <w:rFonts w:cstheme="minorHAnsi"/>
                <w:sz w:val="20"/>
                <w:szCs w:val="20"/>
                <w:lang w:val="en-US"/>
              </w:rPr>
            </w:pPr>
            <w:bookmarkStart w:id="13" w:name="ApplicantBank"/>
            <w:bookmarkEnd w:id="13"/>
          </w:p>
        </w:tc>
      </w:tr>
      <w:tr w:rsidR="000B6CF2" w:rsidRPr="000B6CF2" w:rsidTr="0012455C">
        <w:trPr>
          <w:trHeight w:val="269"/>
        </w:trPr>
        <w:tc>
          <w:tcPr>
            <w:tcW w:w="2283" w:type="dxa"/>
            <w:tcBorders>
              <w:right w:val="single" w:sz="4" w:space="0" w:color="auto"/>
            </w:tcBorders>
            <w:vAlign w:val="center"/>
          </w:tcPr>
          <w:p w:rsidR="000B6CF2" w:rsidRPr="00E1735E" w:rsidRDefault="000B6CF2" w:rsidP="000B6CF2">
            <w:pPr>
              <w:pStyle w:val="NoSpacing"/>
              <w:ind w:left="15"/>
              <w:rPr>
                <w:rFonts w:cstheme="minorHAnsi"/>
                <w:sz w:val="20"/>
                <w:szCs w:val="20"/>
              </w:rPr>
            </w:pPr>
            <w:r w:rsidRPr="00E1735E">
              <w:rPr>
                <w:rFonts w:cstheme="minorHAnsi"/>
                <w:sz w:val="20"/>
                <w:szCs w:val="20"/>
              </w:rPr>
              <w:t xml:space="preserve">L/C </w:t>
            </w:r>
            <w:proofErr w:type="spellStart"/>
            <w:r w:rsidRPr="00E1735E">
              <w:rPr>
                <w:rFonts w:cstheme="minorHAnsi"/>
                <w:sz w:val="20"/>
                <w:szCs w:val="20"/>
              </w:rPr>
              <w:t>Betrag</w:t>
            </w:r>
            <w:proofErr w:type="spellEnd"/>
            <w:r w:rsidRPr="00E1735E">
              <w:rPr>
                <w:rFonts w:cstheme="minorHAnsi"/>
                <w:sz w:val="20"/>
                <w:szCs w:val="20"/>
              </w:rPr>
              <w:t>:</w:t>
            </w:r>
          </w:p>
        </w:tc>
        <w:tc>
          <w:tcPr>
            <w:tcW w:w="6762" w:type="dxa"/>
            <w:tcBorders>
              <w:left w:val="single" w:sz="4" w:space="0" w:color="auto"/>
            </w:tcBorders>
            <w:vAlign w:val="center"/>
          </w:tcPr>
          <w:p w:rsidR="000B6CF2" w:rsidRPr="00B329E3" w:rsidRDefault="00B329E3" w:rsidP="00B329E3">
            <w:pPr>
              <w:pStyle w:val="NoSpacing"/>
              <w:rPr>
                <w:rFonts w:cstheme="minorHAnsi"/>
                <w:sz w:val="20"/>
                <w:szCs w:val="20"/>
                <w:lang w:val="de-DE"/>
              </w:rPr>
            </w:pPr>
            <w:bookmarkStart w:id="14" w:name="LcCCY"/>
            <w:bookmarkEnd w:id="14"/>
            <w:r>
              <w:rPr>
                <w:rFonts w:cstheme="minorHAnsi"/>
                <w:sz w:val="20"/>
                <w:szCs w:val="20"/>
                <w:lang w:val="de-DE"/>
              </w:rPr>
              <w:t xml:space="preserve">  </w:t>
            </w:r>
            <w:bookmarkStart w:id="15" w:name="LcAmount"/>
            <w:bookmarkEnd w:id="15"/>
            <w:r w:rsidR="00443E9C">
              <w:rPr>
                <w:rFonts w:cstheme="minorHAnsi"/>
                <w:sz w:val="20"/>
                <w:szCs w:val="20"/>
                <w:lang w:val="de-DE"/>
              </w:rPr>
              <w:t xml:space="preserve">                </w:t>
            </w:r>
            <w:bookmarkStart w:id="16" w:name="PercentageTollerance"/>
            <w:bookmarkEnd w:id="16"/>
          </w:p>
        </w:tc>
      </w:tr>
      <w:tr w:rsidR="000B6CF2" w:rsidRPr="000B6CF2" w:rsidTr="0012455C">
        <w:trPr>
          <w:trHeight w:val="269"/>
        </w:trPr>
        <w:tc>
          <w:tcPr>
            <w:tcW w:w="2283" w:type="dxa"/>
            <w:tcBorders>
              <w:right w:val="single" w:sz="4" w:space="0" w:color="auto"/>
            </w:tcBorders>
            <w:vAlign w:val="center"/>
          </w:tcPr>
          <w:p w:rsidR="000B6CF2" w:rsidRPr="00E1735E" w:rsidRDefault="000B6CF2" w:rsidP="000B6CF2">
            <w:pPr>
              <w:pStyle w:val="NoSpacing"/>
              <w:ind w:left="15"/>
              <w:rPr>
                <w:rFonts w:cstheme="minorHAnsi"/>
                <w:sz w:val="20"/>
                <w:szCs w:val="20"/>
              </w:rPr>
            </w:pPr>
            <w:proofErr w:type="spellStart"/>
            <w:r w:rsidRPr="00E1735E">
              <w:rPr>
                <w:rFonts w:cstheme="minorHAnsi"/>
                <w:sz w:val="20"/>
                <w:szCs w:val="20"/>
              </w:rPr>
              <w:t>gültig</w:t>
            </w:r>
            <w:proofErr w:type="spellEnd"/>
            <w:r w:rsidRPr="00E1735E">
              <w:rPr>
                <w:rFonts w:cstheme="minorHAnsi"/>
                <w:sz w:val="20"/>
                <w:szCs w:val="20"/>
              </w:rPr>
              <w:t xml:space="preserve"> </w:t>
            </w:r>
            <w:proofErr w:type="spellStart"/>
            <w:r w:rsidRPr="00E1735E">
              <w:rPr>
                <w:rFonts w:cstheme="minorHAnsi"/>
                <w:sz w:val="20"/>
                <w:szCs w:val="20"/>
              </w:rPr>
              <w:t>bis</w:t>
            </w:r>
            <w:proofErr w:type="spellEnd"/>
            <w:r w:rsidRPr="00E1735E">
              <w:rPr>
                <w:rFonts w:cstheme="minorHAnsi"/>
                <w:sz w:val="20"/>
                <w:szCs w:val="20"/>
              </w:rPr>
              <w:t>:</w:t>
            </w:r>
          </w:p>
        </w:tc>
        <w:tc>
          <w:tcPr>
            <w:tcW w:w="6762" w:type="dxa"/>
            <w:tcBorders>
              <w:left w:val="single" w:sz="4" w:space="0" w:color="auto"/>
            </w:tcBorders>
            <w:vAlign w:val="center"/>
          </w:tcPr>
          <w:p w:rsidR="000B6CF2" w:rsidRPr="003336CC" w:rsidRDefault="003336CC" w:rsidP="003336CC">
            <w:pPr>
              <w:pStyle w:val="NoSpacing"/>
              <w:rPr>
                <w:rFonts w:cstheme="minorHAnsi"/>
                <w:sz w:val="20"/>
                <w:szCs w:val="20"/>
                <w:lang w:val="de-DE"/>
              </w:rPr>
            </w:pPr>
            <w:bookmarkStart w:id="17" w:name="LcValidDate"/>
            <w:bookmarkEnd w:id="17"/>
            <w:r>
              <w:rPr>
                <w:rFonts w:cstheme="minorHAnsi"/>
                <w:sz w:val="20"/>
                <w:szCs w:val="20"/>
                <w:lang w:val="de-DE"/>
              </w:rPr>
              <w:t xml:space="preserve"> </w:t>
            </w:r>
            <w:bookmarkStart w:id="18" w:name="LcValidCountry"/>
            <w:bookmarkEnd w:id="18"/>
          </w:p>
        </w:tc>
      </w:tr>
      <w:tr w:rsidR="000B6CF2" w:rsidRPr="000B6CF2" w:rsidTr="0012455C">
        <w:trPr>
          <w:trHeight w:val="269"/>
        </w:trPr>
        <w:tc>
          <w:tcPr>
            <w:tcW w:w="2283" w:type="dxa"/>
            <w:tcBorders>
              <w:right w:val="single" w:sz="4" w:space="0" w:color="auto"/>
            </w:tcBorders>
            <w:vAlign w:val="center"/>
          </w:tcPr>
          <w:p w:rsidR="000B6CF2" w:rsidRPr="00E1735E" w:rsidRDefault="000B6CF2" w:rsidP="000B6CF2">
            <w:pPr>
              <w:pStyle w:val="NoSpacing"/>
              <w:ind w:left="15"/>
              <w:rPr>
                <w:rFonts w:cstheme="minorHAnsi"/>
                <w:sz w:val="20"/>
                <w:szCs w:val="20"/>
              </w:rPr>
            </w:pPr>
            <w:proofErr w:type="spellStart"/>
            <w:r w:rsidRPr="00E1735E">
              <w:rPr>
                <w:rFonts w:cstheme="minorHAnsi"/>
                <w:sz w:val="20"/>
                <w:szCs w:val="20"/>
              </w:rPr>
              <w:t>mit</w:t>
            </w:r>
            <w:proofErr w:type="spellEnd"/>
            <w:r w:rsidRPr="00E1735E">
              <w:rPr>
                <w:rFonts w:cstheme="minorHAnsi"/>
                <w:sz w:val="20"/>
                <w:szCs w:val="20"/>
              </w:rPr>
              <w:t xml:space="preserve"> </w:t>
            </w:r>
            <w:proofErr w:type="spellStart"/>
            <w:r w:rsidRPr="00E1735E">
              <w:rPr>
                <w:rFonts w:cstheme="minorHAnsi"/>
                <w:sz w:val="20"/>
                <w:szCs w:val="20"/>
              </w:rPr>
              <w:t>folgender</w:t>
            </w:r>
            <w:proofErr w:type="spellEnd"/>
            <w:r w:rsidRPr="00E1735E">
              <w:rPr>
                <w:rFonts w:cstheme="minorHAnsi"/>
                <w:sz w:val="20"/>
                <w:szCs w:val="20"/>
              </w:rPr>
              <w:t xml:space="preserve"> </w:t>
            </w:r>
            <w:proofErr w:type="spellStart"/>
            <w:r w:rsidRPr="00E1735E">
              <w:rPr>
                <w:rFonts w:cstheme="minorHAnsi"/>
                <w:sz w:val="20"/>
                <w:szCs w:val="20"/>
              </w:rPr>
              <w:t>Fälligkeit</w:t>
            </w:r>
            <w:proofErr w:type="spellEnd"/>
            <w:r w:rsidRPr="00E1735E">
              <w:rPr>
                <w:rFonts w:cstheme="minorHAnsi"/>
                <w:sz w:val="20"/>
                <w:szCs w:val="20"/>
              </w:rPr>
              <w:t>:</w:t>
            </w:r>
          </w:p>
        </w:tc>
        <w:tc>
          <w:tcPr>
            <w:tcW w:w="6762" w:type="dxa"/>
            <w:tcBorders>
              <w:left w:val="single" w:sz="4" w:space="0" w:color="auto"/>
            </w:tcBorders>
            <w:vAlign w:val="center"/>
          </w:tcPr>
          <w:p w:rsidR="000B6CF2" w:rsidRPr="00E1735E" w:rsidRDefault="000B6CF2" w:rsidP="003336CC">
            <w:pPr>
              <w:pStyle w:val="NoSpacing"/>
              <w:rPr>
                <w:rFonts w:cstheme="minorHAnsi"/>
                <w:sz w:val="20"/>
                <w:szCs w:val="20"/>
              </w:rPr>
            </w:pPr>
            <w:bookmarkStart w:id="19" w:name="MaturityDiscount"/>
            <w:bookmarkEnd w:id="19"/>
          </w:p>
        </w:tc>
      </w:tr>
      <w:tr w:rsidR="000B6CF2" w:rsidRPr="000B6CF2" w:rsidTr="0012455C">
        <w:trPr>
          <w:trHeight w:val="269"/>
        </w:trPr>
        <w:tc>
          <w:tcPr>
            <w:tcW w:w="2283" w:type="dxa"/>
            <w:tcBorders>
              <w:right w:val="single" w:sz="4" w:space="0" w:color="auto"/>
            </w:tcBorders>
            <w:vAlign w:val="center"/>
          </w:tcPr>
          <w:p w:rsidR="000B6CF2" w:rsidRPr="00E1735E" w:rsidRDefault="000B6CF2" w:rsidP="000B6CF2">
            <w:pPr>
              <w:pStyle w:val="NoSpacing"/>
              <w:ind w:left="15"/>
              <w:rPr>
                <w:rFonts w:cstheme="minorHAnsi"/>
                <w:sz w:val="20"/>
                <w:szCs w:val="20"/>
              </w:rPr>
            </w:pPr>
            <w:proofErr w:type="spellStart"/>
            <w:r w:rsidRPr="00E1735E">
              <w:rPr>
                <w:rFonts w:cstheme="minorHAnsi"/>
                <w:sz w:val="20"/>
                <w:szCs w:val="20"/>
              </w:rPr>
              <w:t>unsere</w:t>
            </w:r>
            <w:proofErr w:type="spellEnd"/>
            <w:r w:rsidRPr="00E1735E">
              <w:rPr>
                <w:rFonts w:cstheme="minorHAnsi"/>
                <w:sz w:val="20"/>
                <w:szCs w:val="20"/>
              </w:rPr>
              <w:t xml:space="preserve"> </w:t>
            </w:r>
            <w:proofErr w:type="spellStart"/>
            <w:r w:rsidRPr="00E1735E">
              <w:rPr>
                <w:rFonts w:cstheme="minorHAnsi"/>
                <w:sz w:val="20"/>
                <w:szCs w:val="20"/>
              </w:rPr>
              <w:t>Referenz</w:t>
            </w:r>
            <w:proofErr w:type="spellEnd"/>
            <w:r w:rsidRPr="00E1735E">
              <w:rPr>
                <w:rFonts w:cstheme="minorHAnsi"/>
                <w:sz w:val="20"/>
                <w:szCs w:val="20"/>
              </w:rPr>
              <w:t>:</w:t>
            </w:r>
          </w:p>
        </w:tc>
        <w:tc>
          <w:tcPr>
            <w:tcW w:w="6762" w:type="dxa"/>
            <w:tcBorders>
              <w:left w:val="single" w:sz="4" w:space="0" w:color="auto"/>
            </w:tcBorders>
            <w:vAlign w:val="center"/>
          </w:tcPr>
          <w:p w:rsidR="000B6CF2" w:rsidRPr="00E1735E" w:rsidRDefault="000B6CF2" w:rsidP="003336CC">
            <w:pPr>
              <w:pStyle w:val="NoSpacing"/>
              <w:rPr>
                <w:rFonts w:cstheme="minorHAnsi"/>
                <w:sz w:val="20"/>
                <w:szCs w:val="20"/>
              </w:rPr>
            </w:pPr>
            <w:bookmarkStart w:id="20" w:name="OurReference1"/>
            <w:bookmarkEnd w:id="20"/>
          </w:p>
        </w:tc>
      </w:tr>
    </w:tbl>
    <w:p w:rsidR="0040572B" w:rsidRPr="000B6CF2" w:rsidRDefault="0040572B" w:rsidP="00E1735E">
      <w:pPr>
        <w:pStyle w:val="NoSpacing"/>
        <w:rPr>
          <w:rFonts w:cstheme="minorHAnsi"/>
          <w:sz w:val="20"/>
          <w:szCs w:val="20"/>
          <w:lang w:val="de-DE"/>
        </w:rPr>
      </w:pPr>
    </w:p>
    <w:p w:rsidR="00E1735E" w:rsidRDefault="00E1735E" w:rsidP="00E1735E">
      <w:pPr>
        <w:pStyle w:val="NoSpacing"/>
        <w:rPr>
          <w:rFonts w:cstheme="minorHAnsi"/>
          <w:sz w:val="20"/>
          <w:szCs w:val="20"/>
          <w:lang w:val="de-DE"/>
        </w:rPr>
      </w:pPr>
      <w:r w:rsidRPr="00E1735E">
        <w:rPr>
          <w:rFonts w:cstheme="minorHAnsi"/>
          <w:sz w:val="20"/>
          <w:szCs w:val="20"/>
          <w:lang w:val="de-DE"/>
        </w:rPr>
        <w:t xml:space="preserve">einschließlich </w:t>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Pr="00E1735E">
        <w:rPr>
          <w:rFonts w:cstheme="minorHAnsi"/>
          <w:sz w:val="20"/>
          <w:szCs w:val="20"/>
          <w:lang w:val="de-DE"/>
        </w:rPr>
        <w:t>sämtlicher</w:t>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t xml:space="preserve"> Forderungen aus dem Akkreditiv</w:t>
      </w:r>
      <w:r w:rsidR="00944200">
        <w:rPr>
          <w:rFonts w:cstheme="minorHAnsi"/>
          <w:sz w:val="20"/>
          <w:szCs w:val="20"/>
          <w:lang w:val="de-DE"/>
        </w:rPr>
        <w:t xml:space="preserve"> </w:t>
      </w:r>
      <w:r w:rsidR="002A14D2">
        <w:rPr>
          <w:rFonts w:cstheme="minorHAnsi"/>
          <w:sz w:val="20"/>
          <w:szCs w:val="20"/>
          <w:lang w:val="de-DE"/>
        </w:rPr>
        <w:t xml:space="preserve"> </w:t>
      </w:r>
      <w:bookmarkStart w:id="21" w:name="LcReference2"/>
      <w:bookmarkEnd w:id="21"/>
      <w:r w:rsidR="003E39DE">
        <w:rPr>
          <w:rFonts w:cstheme="minorHAnsi"/>
          <w:sz w:val="20"/>
          <w:szCs w:val="20"/>
          <w:lang w:val="de-DE"/>
        </w:rPr>
        <w:t xml:space="preserve"> </w:t>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2A14D2">
        <w:rPr>
          <w:rFonts w:cstheme="minorHAnsi"/>
          <w:sz w:val="20"/>
          <w:szCs w:val="20"/>
          <w:lang w:val="de-DE"/>
        </w:rPr>
        <w:fldChar w:fldCharType="begin"/>
      </w:r>
      <w:r w:rsidR="002A14D2">
        <w:rPr>
          <w:rFonts w:cstheme="minorHAnsi"/>
          <w:sz w:val="20"/>
          <w:szCs w:val="20"/>
          <w:lang w:val="de-DE"/>
        </w:rPr>
        <w:instrText xml:space="preserve"> REF LcReference \h </w:instrText>
      </w:r>
      <w:r w:rsidR="002A14D2">
        <w:rPr>
          <w:rFonts w:cstheme="minorHAnsi"/>
          <w:sz w:val="20"/>
          <w:szCs w:val="20"/>
          <w:lang w:val="de-DE"/>
        </w:rPr>
      </w:r>
      <w:r w:rsidR="002A14D2">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003E39DE">
        <w:rPr>
          <w:rFonts w:cstheme="minorHAnsi"/>
          <w:sz w:val="20"/>
          <w:szCs w:val="20"/>
          <w:lang w:val="de-DE"/>
        </w:rPr>
        <w:fldChar w:fldCharType="begin"/>
      </w:r>
      <w:r w:rsidR="003E39DE">
        <w:rPr>
          <w:rFonts w:cstheme="minorHAnsi"/>
          <w:sz w:val="20"/>
          <w:szCs w:val="20"/>
          <w:lang w:val="de-DE"/>
        </w:rPr>
        <w:instrText xml:space="preserve"> REF CustomerName \h </w:instrText>
      </w:r>
      <w:r w:rsidR="003E39DE">
        <w:rPr>
          <w:rFonts w:cstheme="minorHAnsi"/>
          <w:sz w:val="20"/>
          <w:szCs w:val="20"/>
          <w:lang w:val="de-DE"/>
        </w:rPr>
      </w:r>
      <w:r w:rsidR="003E39DE">
        <w:rPr>
          <w:rFonts w:cstheme="minorHAnsi"/>
          <w:sz w:val="20"/>
          <w:szCs w:val="20"/>
          <w:lang w:val="de-DE"/>
        </w:rPr>
        <w:fldChar w:fldCharType="end"/>
      </w:r>
      <w:r w:rsidRPr="00E1735E">
        <w:rPr>
          <w:rFonts w:cstheme="minorHAnsi"/>
          <w:sz w:val="20"/>
          <w:szCs w:val="20"/>
          <w:lang w:val="de-DE"/>
        </w:rPr>
        <w:t xml:space="preserve"> </w:t>
      </w:r>
      <w:r w:rsidR="002A14D2">
        <w:rPr>
          <w:rFonts w:cstheme="minorHAnsi"/>
          <w:sz w:val="20"/>
          <w:szCs w:val="20"/>
          <w:lang w:val="de-DE"/>
        </w:rPr>
        <w:t xml:space="preserve"> </w:t>
      </w:r>
      <w:r w:rsidRPr="00E1735E">
        <w:rPr>
          <w:rFonts w:cstheme="minorHAnsi"/>
          <w:sz w:val="20"/>
          <w:szCs w:val="20"/>
          <w:lang w:val="de-DE"/>
        </w:rPr>
        <w:t>gegen die Firma</w:t>
      </w:r>
      <w:r w:rsidR="002A14D2">
        <w:rPr>
          <w:rFonts w:cstheme="minorHAnsi"/>
          <w:sz w:val="20"/>
          <w:szCs w:val="20"/>
          <w:lang w:val="de-DE"/>
        </w:rPr>
        <w:t xml:space="preserve"> </w:t>
      </w:r>
      <w:r w:rsidRPr="00E1735E">
        <w:rPr>
          <w:rFonts w:cstheme="minorHAnsi"/>
          <w:sz w:val="20"/>
          <w:szCs w:val="20"/>
          <w:lang w:val="de-DE"/>
        </w:rPr>
        <w:t xml:space="preserve"> </w:t>
      </w:r>
      <w:bookmarkStart w:id="22" w:name="ApplicantALL"/>
      <w:bookmarkEnd w:id="22"/>
      <w:r w:rsidRPr="00E1735E">
        <w:rPr>
          <w:rFonts w:cstheme="minorHAnsi"/>
          <w:sz w:val="20"/>
          <w:szCs w:val="20"/>
          <w:lang w:val="de-DE"/>
        </w:rPr>
        <w:t xml:space="preserve"> („Schuldner“). Wir treten Ihnen ebenfalls aus dem </w:t>
      </w:r>
      <w:r w:rsidR="000B6CF2" w:rsidRPr="00E1735E">
        <w:rPr>
          <w:rFonts w:cstheme="minorHAnsi"/>
          <w:sz w:val="20"/>
          <w:szCs w:val="20"/>
          <w:lang w:val="de-DE"/>
        </w:rPr>
        <w:t>zugrundeliegenden</w:t>
      </w:r>
      <w:r w:rsidRPr="00E1735E">
        <w:rPr>
          <w:rFonts w:cstheme="minorHAnsi"/>
          <w:sz w:val="20"/>
          <w:szCs w:val="20"/>
          <w:lang w:val="de-DE"/>
        </w:rPr>
        <w:t xml:space="preserve"> Rechtsgeschäft („Grundgeschäft“) ab:"</w:t>
      </w:r>
    </w:p>
    <w:p w:rsidR="00E1735E" w:rsidRDefault="00E1735E" w:rsidP="00E1735E">
      <w:pPr>
        <w:pStyle w:val="NoSpacing"/>
        <w:rPr>
          <w:rFonts w:cstheme="minorHAnsi"/>
          <w:sz w:val="20"/>
          <w:szCs w:val="20"/>
          <w:lang w:val="de-DE"/>
        </w:rPr>
      </w:pPr>
    </w:p>
    <w:p w:rsidR="00E1735E" w:rsidRPr="00E1735E" w:rsidRDefault="00E1735E" w:rsidP="00E1735E">
      <w:pPr>
        <w:pStyle w:val="NoSpacing"/>
        <w:numPr>
          <w:ilvl w:val="0"/>
          <w:numId w:val="1"/>
        </w:numPr>
        <w:rPr>
          <w:rFonts w:cstheme="minorHAnsi"/>
          <w:sz w:val="20"/>
          <w:szCs w:val="20"/>
          <w:lang w:val="de-DE"/>
        </w:rPr>
      </w:pPr>
      <w:r w:rsidRPr="00E1735E">
        <w:rPr>
          <w:rFonts w:cstheme="minorHAnsi"/>
          <w:sz w:val="20"/>
          <w:szCs w:val="20"/>
          <w:lang w:val="de-DE"/>
        </w:rPr>
        <w:t>die oben genannte Kaufpreisforderung sowie eventuelle Schadenersatzansprüche für den Fall der Nicht- oder Schlechterfüllung dieser Kaufpreisforderung;</w:t>
      </w:r>
    </w:p>
    <w:p w:rsidR="00E1735E" w:rsidRPr="00E1735E" w:rsidRDefault="00E1735E" w:rsidP="00E1735E">
      <w:pPr>
        <w:pStyle w:val="NoSpacing"/>
        <w:numPr>
          <w:ilvl w:val="0"/>
          <w:numId w:val="1"/>
        </w:numPr>
        <w:rPr>
          <w:rFonts w:cstheme="minorHAnsi"/>
          <w:sz w:val="20"/>
          <w:szCs w:val="20"/>
          <w:lang w:val="de-DE"/>
        </w:rPr>
      </w:pPr>
      <w:r w:rsidRPr="00E1735E">
        <w:rPr>
          <w:rFonts w:cstheme="minorHAnsi"/>
          <w:sz w:val="20"/>
          <w:szCs w:val="20"/>
          <w:lang w:val="de-DE"/>
        </w:rPr>
        <w:t xml:space="preserve">sämtliche gegenwärtigen und künftigen Ansprüche gegenüber der Akkreditivbank aus dem oben genannten </w:t>
      </w:r>
      <w:r w:rsidR="000B6CF2" w:rsidRPr="00E1735E">
        <w:rPr>
          <w:rFonts w:cstheme="minorHAnsi"/>
          <w:sz w:val="20"/>
          <w:szCs w:val="20"/>
          <w:lang w:val="de-DE"/>
        </w:rPr>
        <w:t>Akkreditiv</w:t>
      </w:r>
      <w:r w:rsidRPr="00E1735E">
        <w:rPr>
          <w:rFonts w:cstheme="minorHAnsi"/>
          <w:sz w:val="20"/>
          <w:szCs w:val="20"/>
          <w:lang w:val="de-DE"/>
        </w:rPr>
        <w:t>;</w:t>
      </w:r>
    </w:p>
    <w:p w:rsidR="00E1735E" w:rsidRPr="00E1735E" w:rsidRDefault="00E1735E" w:rsidP="00E1735E">
      <w:pPr>
        <w:pStyle w:val="NoSpacing"/>
        <w:numPr>
          <w:ilvl w:val="0"/>
          <w:numId w:val="1"/>
        </w:numPr>
        <w:rPr>
          <w:rFonts w:cstheme="minorHAnsi"/>
          <w:sz w:val="20"/>
          <w:szCs w:val="20"/>
          <w:lang w:val="de-DE"/>
        </w:rPr>
      </w:pPr>
      <w:r w:rsidRPr="00E1735E">
        <w:rPr>
          <w:rFonts w:cstheme="minorHAnsi"/>
          <w:sz w:val="20"/>
          <w:szCs w:val="20"/>
          <w:lang w:val="de-DE"/>
        </w:rPr>
        <w:t xml:space="preserve">sämtliche gegenwärtigen und zukünftigen Forderungen aus dem o.g. Akkreditiv gegenüber der Akkreditivbank, auf </w:t>
      </w:r>
      <w:proofErr w:type="spellStart"/>
      <w:r w:rsidRPr="00E1735E">
        <w:rPr>
          <w:rFonts w:cstheme="minorHAnsi"/>
          <w:sz w:val="20"/>
          <w:szCs w:val="20"/>
          <w:lang w:val="de-DE"/>
        </w:rPr>
        <w:t>Auskehr</w:t>
      </w:r>
      <w:proofErr w:type="spellEnd"/>
      <w:r w:rsidRPr="00E1735E">
        <w:rPr>
          <w:rFonts w:cstheme="minorHAnsi"/>
          <w:sz w:val="20"/>
          <w:szCs w:val="20"/>
          <w:lang w:val="de-DE"/>
        </w:rPr>
        <w:t xml:space="preserve"> irgendwelcher Gegenstände (Zahlungen, Sachen oder Rechte), welche diese aufgrund der genannten Akkreditivbeziehung erhalten hat oder empfangen wird;</w:t>
      </w:r>
    </w:p>
    <w:p w:rsidR="00E1735E" w:rsidRDefault="00E1735E" w:rsidP="00E1735E">
      <w:pPr>
        <w:pStyle w:val="NoSpacing"/>
        <w:numPr>
          <w:ilvl w:val="0"/>
          <w:numId w:val="1"/>
        </w:numPr>
        <w:rPr>
          <w:rFonts w:cstheme="minorHAnsi"/>
          <w:sz w:val="20"/>
          <w:szCs w:val="20"/>
          <w:lang w:val="de-DE"/>
        </w:rPr>
      </w:pPr>
      <w:r w:rsidRPr="00E1735E">
        <w:rPr>
          <w:rFonts w:cstheme="minorHAnsi"/>
          <w:sz w:val="20"/>
          <w:szCs w:val="20"/>
          <w:lang w:val="de-DE"/>
        </w:rPr>
        <w:t>sämtliche gegenwärtigen und zukünftigen Ansprüche aus Versicherungen, die hinsichtlich der in dem o.g. Akkreditiv genannten Ware abgeschlossen worden sind und abgeschlossen werden.</w:t>
      </w:r>
    </w:p>
    <w:p w:rsidR="00E1735E" w:rsidRDefault="00E1735E" w:rsidP="00E1735E">
      <w:pPr>
        <w:pStyle w:val="NoSpacing"/>
        <w:ind w:left="720"/>
        <w:rPr>
          <w:rFonts w:cstheme="minorHAnsi"/>
          <w:sz w:val="20"/>
          <w:szCs w:val="20"/>
          <w:lang w:val="de-DE"/>
        </w:rPr>
      </w:pPr>
    </w:p>
    <w:p w:rsidR="00E1735E" w:rsidRDefault="00E1735E" w:rsidP="00212F39">
      <w:pPr>
        <w:pStyle w:val="NoSpacing"/>
        <w:jc w:val="both"/>
        <w:rPr>
          <w:rFonts w:cstheme="minorHAnsi"/>
          <w:sz w:val="20"/>
          <w:szCs w:val="20"/>
          <w:lang w:val="de-DE"/>
        </w:rPr>
      </w:pPr>
      <w:r w:rsidRPr="00E1735E">
        <w:rPr>
          <w:rFonts w:cstheme="minorHAnsi"/>
          <w:sz w:val="20"/>
          <w:szCs w:val="20"/>
          <w:lang w:val="de-DE"/>
        </w:rPr>
        <w:t>Dieser Ankauf bezieht sich auf das genannte Akkreditiv in der gegenwärtigen Fassung. Wir werden, bevor wir einer eventuellen Akkreditivänderung zustimmen, Ihr Einverständnis einholen. Weitere Grundlage für den Ankauf ist die Einreichung akkreditivkonformer Dokumente.</w:t>
      </w:r>
    </w:p>
    <w:p w:rsidR="00E1735E" w:rsidRDefault="00E1735E" w:rsidP="00212F39">
      <w:pPr>
        <w:pStyle w:val="NoSpacing"/>
        <w:jc w:val="both"/>
        <w:rPr>
          <w:rFonts w:cstheme="minorHAnsi"/>
          <w:sz w:val="20"/>
          <w:szCs w:val="20"/>
          <w:lang w:val="de-DE"/>
        </w:rPr>
      </w:pPr>
      <w:r w:rsidRPr="00E1735E">
        <w:rPr>
          <w:rFonts w:cstheme="minorHAnsi"/>
          <w:sz w:val="20"/>
          <w:szCs w:val="20"/>
          <w:lang w:val="de-DE"/>
        </w:rPr>
        <w:t xml:space="preserve">Wir versichern, Inhaber der abgetretenen Zahlungsansprüche zu sein und hierüber frei verfügen zu können, dass die abgetretenen Zahlungsansprüche rechtswirksam, frei von Einwendungen und Einreden bestehen und dass sie weder </w:t>
      </w:r>
      <w:proofErr w:type="spellStart"/>
      <w:r w:rsidRPr="00E1735E">
        <w:rPr>
          <w:rFonts w:cstheme="minorHAnsi"/>
          <w:sz w:val="20"/>
          <w:szCs w:val="20"/>
          <w:lang w:val="de-DE"/>
        </w:rPr>
        <w:t>ge</w:t>
      </w:r>
      <w:proofErr w:type="spellEnd"/>
      <w:r w:rsidR="000B6CF2">
        <w:rPr>
          <w:rFonts w:cstheme="minorHAnsi"/>
          <w:sz w:val="20"/>
          <w:szCs w:val="20"/>
          <w:lang w:val="de-DE"/>
        </w:rPr>
        <w:t xml:space="preserve"> </w:t>
      </w:r>
      <w:r w:rsidRPr="00E1735E">
        <w:rPr>
          <w:rFonts w:cstheme="minorHAnsi"/>
          <w:sz w:val="20"/>
          <w:szCs w:val="20"/>
          <w:lang w:val="de-DE"/>
        </w:rPr>
        <w:t xml:space="preserve">- noch verpfändet worden sind noch in sonstiger Weise über sie verfügt worden ist. Gleichfalls versichern wir, dass die dem Akkreditiv </w:t>
      </w:r>
      <w:r w:rsidR="000B6CF2" w:rsidRPr="00E1735E">
        <w:rPr>
          <w:rFonts w:cstheme="minorHAnsi"/>
          <w:sz w:val="20"/>
          <w:szCs w:val="20"/>
          <w:lang w:val="de-DE"/>
        </w:rPr>
        <w:t>zugrundeliegende</w:t>
      </w:r>
      <w:r w:rsidRPr="00E1735E">
        <w:rPr>
          <w:rFonts w:cstheme="minorHAnsi"/>
          <w:sz w:val="20"/>
          <w:szCs w:val="20"/>
          <w:lang w:val="de-DE"/>
        </w:rPr>
        <w:t xml:space="preserve"> Forderung rechtswirksam sowie frei von Einwendungen und Einreden besteht. Uns liegen keine Informationen vor, wonach die Abtretbarkeit der Akkreditivforderung ausgeschlossen oder eingeschränkt ist. Sollte die rechtswirksame Übertragung der verkauften Forderungen nicht möglich sein, verpflichten wir uns, die dem Akkreditiv </w:t>
      </w:r>
      <w:r w:rsidR="000B6CF2" w:rsidRPr="00E1735E">
        <w:rPr>
          <w:rFonts w:cstheme="minorHAnsi"/>
          <w:sz w:val="20"/>
          <w:szCs w:val="20"/>
          <w:lang w:val="de-DE"/>
        </w:rPr>
        <w:t>zugrundeliegenden</w:t>
      </w:r>
      <w:r w:rsidRPr="00E1735E">
        <w:rPr>
          <w:rFonts w:cstheme="minorHAnsi"/>
          <w:sz w:val="20"/>
          <w:szCs w:val="20"/>
          <w:lang w:val="de-DE"/>
        </w:rPr>
        <w:t xml:space="preserve"> Forderungen treuhänderisch für die CCB Frankfurt einzuziehen und den Erlös unverzüglich an die CCB Frankfurt weiterzuleiten. Für den Fall, dass wir eine Zahlung auf das abgetretene Akkreditiv oder die dem Akkreditiv </w:t>
      </w:r>
      <w:r w:rsidR="000B6CF2" w:rsidRPr="00E1735E">
        <w:rPr>
          <w:rFonts w:cstheme="minorHAnsi"/>
          <w:sz w:val="20"/>
          <w:szCs w:val="20"/>
          <w:lang w:val="de-DE"/>
        </w:rPr>
        <w:t>zugrundeliegende</w:t>
      </w:r>
      <w:r w:rsidRPr="00E1735E">
        <w:rPr>
          <w:rFonts w:cstheme="minorHAnsi"/>
          <w:sz w:val="20"/>
          <w:szCs w:val="20"/>
          <w:lang w:val="de-DE"/>
        </w:rPr>
        <w:t xml:space="preserve"> Forderungen erhalten, werden wir eine solche Zahlung treuhänderisch für die CCB Frankfurt entgegennehmen und unverzüglich an sie weiterleiten.</w:t>
      </w:r>
    </w:p>
    <w:p w:rsidR="005E28E5" w:rsidRDefault="005E28E5" w:rsidP="00E1735E">
      <w:pPr>
        <w:pStyle w:val="NoSpacing"/>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Ferner bestätigen wir, dass wir alle Verpflichtungen aus dem Grundgeschäft in vollem Umfang erfüllen werden.</w:t>
      </w:r>
    </w:p>
    <w:p w:rsidR="0012455C" w:rsidRDefault="0012455C" w:rsidP="00E1735E">
      <w:pPr>
        <w:pStyle w:val="NoSpacing"/>
        <w:rPr>
          <w:rFonts w:cstheme="minorHAnsi"/>
          <w:sz w:val="20"/>
          <w:szCs w:val="20"/>
          <w:lang w:val="de-DE"/>
        </w:rPr>
      </w:pPr>
    </w:p>
    <w:p w:rsidR="00C95B66" w:rsidRDefault="00C95B66" w:rsidP="00E1735E">
      <w:pPr>
        <w:pStyle w:val="NoSpacing"/>
        <w:rPr>
          <w:rFonts w:cstheme="minorHAnsi"/>
          <w:sz w:val="20"/>
          <w:szCs w:val="20"/>
          <w:lang w:val="de-DE"/>
        </w:rPr>
      </w:pPr>
    </w:p>
    <w:p w:rsidR="00C95B66" w:rsidRDefault="00C95B66" w:rsidP="00E1735E">
      <w:pPr>
        <w:pStyle w:val="NoSpacing"/>
        <w:rPr>
          <w:rFonts w:cstheme="minorHAnsi"/>
          <w:sz w:val="20"/>
          <w:szCs w:val="20"/>
          <w:lang w:val="de-DE"/>
        </w:rPr>
      </w:pPr>
    </w:p>
    <w:p w:rsidR="00C95B66" w:rsidRDefault="00C95B66" w:rsidP="00E1735E">
      <w:pPr>
        <w:pStyle w:val="NoSpacing"/>
        <w:rPr>
          <w:rFonts w:cstheme="minorHAnsi"/>
          <w:sz w:val="20"/>
          <w:szCs w:val="20"/>
          <w:lang w:val="de-DE"/>
        </w:rPr>
      </w:pPr>
    </w:p>
    <w:p w:rsidR="00C95B66" w:rsidRDefault="00C95B66" w:rsidP="00E1735E">
      <w:pPr>
        <w:pStyle w:val="NoSpacing"/>
        <w:rPr>
          <w:rFonts w:cstheme="minorHAnsi"/>
          <w:sz w:val="20"/>
          <w:szCs w:val="20"/>
          <w:lang w:val="de-DE"/>
        </w:rPr>
      </w:pPr>
    </w:p>
    <w:p w:rsidR="00C95B66" w:rsidRDefault="00C95B66" w:rsidP="00E1735E">
      <w:pPr>
        <w:pStyle w:val="NoSpacing"/>
        <w:rPr>
          <w:rFonts w:cstheme="minorHAnsi"/>
          <w:sz w:val="20"/>
          <w:szCs w:val="20"/>
          <w:lang w:val="de-DE"/>
        </w:rPr>
      </w:pPr>
    </w:p>
    <w:p w:rsidR="00C95B66" w:rsidRDefault="00C95B66" w:rsidP="00E1735E">
      <w:pPr>
        <w:pStyle w:val="NoSpacing"/>
        <w:rPr>
          <w:rFonts w:cstheme="minorHAnsi"/>
          <w:sz w:val="20"/>
          <w:szCs w:val="20"/>
          <w:lang w:val="de-DE"/>
        </w:rPr>
      </w:pPr>
    </w:p>
    <w:p w:rsidR="00212F39" w:rsidRDefault="00212F39" w:rsidP="00E1735E">
      <w:pPr>
        <w:pStyle w:val="NoSpacing"/>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Die CCB Frankfurt ist berechtigt, diese Abtretung gegenüber der Akkreditivbank unter Vorlage einer Ausfertigung dieses Vertrages anzuzeigen und auf unsere Kosten sämtliche Erklärungen abzugeben und Maßnahmen zu ergreifen, die erforderlich sind, um die Rechtswirksamkeit nach dem Recht des Schuldnerlandes herbeizuführen.</w:t>
      </w:r>
    </w:p>
    <w:p w:rsidR="00B74A50" w:rsidRDefault="00B74A50" w:rsidP="00212F39">
      <w:pPr>
        <w:pStyle w:val="NoSpacing"/>
        <w:jc w:val="both"/>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Wir verpflichten uns, der CCB Frankfurt alle Auskünfte zu erteilen und alle Erklärungen abzugeben, die zur Durchführung dieses Vertrages und zur Geltendmachung der verkauften Forderung erforderlich sind.</w:t>
      </w:r>
    </w:p>
    <w:p w:rsidR="0012455C" w:rsidRDefault="0012455C" w:rsidP="00212F39">
      <w:pPr>
        <w:pStyle w:val="NoSpacing"/>
        <w:jc w:val="both"/>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Sollte es der Akkreditivbank aus mit dem Grundgeschäft zusammengehörenden Gründen gerichtlich untersagt werden, auf die Akkreditivforderung zu zahlen oder bei Nichtzahlung wegen Nichtaufnahme der Dokumente aufgrund Unstimmigkeiten gegenüber den Akkreditivbedingungen</w:t>
      </w:r>
      <w:r w:rsidR="00E20081">
        <w:rPr>
          <w:rFonts w:cstheme="minorHAnsi"/>
          <w:sz w:val="20"/>
          <w:szCs w:val="20"/>
          <w:lang w:val="de-DE"/>
        </w:rPr>
        <w:t xml:space="preserve"> </w:t>
      </w:r>
      <w:r w:rsidR="00E20081" w:rsidRPr="00E20081">
        <w:rPr>
          <w:rFonts w:cstheme="minorHAnsi"/>
          <w:sz w:val="20"/>
          <w:szCs w:val="20"/>
          <w:lang w:val="de-DE"/>
        </w:rPr>
        <w:t>oder wegen aktuell bestehenden Sanktions- und Embargoregelungen/vorliegenden Embargohinweisen</w:t>
      </w:r>
      <w:r w:rsidRPr="0012455C">
        <w:rPr>
          <w:rFonts w:cstheme="minorHAnsi"/>
          <w:sz w:val="20"/>
          <w:szCs w:val="20"/>
          <w:lang w:val="de-DE"/>
        </w:rPr>
        <w:t>, so wird diese Forfaitierung hinfällig. Ist in einem solchen Fall der Ankauf bereits erfolgt, so sind wir verpflichtet, die Forderung unverzüglich gegen Erstattung des ursprünglichen Kaufpreises ohne Anrechnung der gezahlten Provision zuzüglich Zinsen und Kosten zurückzuerstatten. In diesem Fall ist die CCB Frankfurt hiermit unwiderruflich ermächtigt, uns den Forfaitierungsbetrag zzgl. Zinsen und Kosten zu belasten.</w:t>
      </w:r>
    </w:p>
    <w:p w:rsidR="0012455C" w:rsidRDefault="0012455C" w:rsidP="00212F39">
      <w:pPr>
        <w:pStyle w:val="NoSpacing"/>
        <w:jc w:val="both"/>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Sollten bei Fälligkeit der Zahlung seitens der Akkreditivbank und/oder Remboursbank Gebühren oder sonstige Kosten anfallen, so werden wir Ihnen den Differenzbetrag zu dem vollen geschuldeten Betrag erstatten. Dafür und für die Akkreditivprovision, Kurierkosten und sonstige fremden Gebühren wird die CCB Frankfurt hiermit unwiderruflich ermächtigt, unser Konto zu belasten.</w:t>
      </w:r>
    </w:p>
    <w:p w:rsidR="0012455C" w:rsidRDefault="0012455C" w:rsidP="00212F39">
      <w:pPr>
        <w:pStyle w:val="NoSpacing"/>
        <w:jc w:val="both"/>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Der Vertrag unterliegt dem Recht der Bundesrepublik Deutschland. Gerichtsstand und Erfüllungsort ist Frankfurt am Main. Änderungen dieses Vertrages bedürfen der Schriftform.</w:t>
      </w:r>
    </w:p>
    <w:p w:rsidR="0012455C" w:rsidRDefault="0012455C" w:rsidP="00212F39">
      <w:pPr>
        <w:pStyle w:val="NoSpacing"/>
        <w:jc w:val="both"/>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Ergänzend gelten die Allgemeinen Geschäftsbedingungen der CCB Frankfurt in Ihrer jeweils gültigen Fassung. Sie liegen in den Geschäftsräumen der CCB Frankfurt zur Einsichtnahme aus und werden der Firma</w:t>
      </w:r>
      <w:r w:rsidR="00944200">
        <w:rPr>
          <w:rFonts w:cstheme="minorHAnsi"/>
          <w:sz w:val="20"/>
          <w:szCs w:val="20"/>
          <w:lang w:val="de-DE"/>
        </w:rPr>
        <w:t xml:space="preserve"> </w:t>
      </w:r>
      <w:bookmarkStart w:id="23" w:name="CustomerName1"/>
      <w:bookmarkEnd w:id="23"/>
      <w:r w:rsidR="002A14D2">
        <w:rPr>
          <w:rFonts w:cstheme="minorHAnsi"/>
          <w:sz w:val="20"/>
          <w:szCs w:val="20"/>
          <w:lang w:val="de-DE"/>
        </w:rPr>
        <w:t xml:space="preserve"> </w:t>
      </w:r>
      <w:r w:rsidRPr="0012455C">
        <w:rPr>
          <w:rFonts w:cstheme="minorHAnsi"/>
          <w:sz w:val="20"/>
          <w:szCs w:val="20"/>
          <w:lang w:val="de-DE"/>
        </w:rPr>
        <w:t xml:space="preserve"> auf unser Ver</w:t>
      </w:r>
      <w:r w:rsidR="008F570A">
        <w:rPr>
          <w:rFonts w:cstheme="minorHAnsi"/>
          <w:sz w:val="20"/>
          <w:szCs w:val="20"/>
          <w:lang w:val="de-DE"/>
        </w:rPr>
        <w:t>langen hin jederzeit zugesandt.</w:t>
      </w:r>
    </w:p>
    <w:p w:rsidR="0012455C" w:rsidRDefault="0012455C" w:rsidP="00212F39">
      <w:pPr>
        <w:pStyle w:val="NoSpacing"/>
        <w:jc w:val="both"/>
        <w:rPr>
          <w:rFonts w:cstheme="minorHAnsi"/>
          <w:sz w:val="20"/>
          <w:szCs w:val="20"/>
          <w:lang w:val="de-DE"/>
        </w:rPr>
      </w:pPr>
    </w:p>
    <w:p w:rsidR="0012455C" w:rsidRDefault="0012455C" w:rsidP="00212F39">
      <w:pPr>
        <w:pStyle w:val="NoSpacing"/>
        <w:jc w:val="both"/>
        <w:rPr>
          <w:rFonts w:cstheme="minorHAnsi"/>
          <w:sz w:val="20"/>
          <w:szCs w:val="20"/>
          <w:lang w:val="de-DE"/>
        </w:rPr>
      </w:pPr>
      <w:r w:rsidRPr="0012455C">
        <w:rPr>
          <w:rFonts w:cstheme="minorHAnsi"/>
          <w:sz w:val="20"/>
          <w:szCs w:val="20"/>
          <w:lang w:val="de-DE"/>
        </w:rPr>
        <w:t>Sollte eine Bestimmung dieses Vertrages unwirksam sein oder werden, so wird die Gültigkeit des Vertrages im Übrigen nicht berührt. Die Vertragschließenden verpflichten sich, die unwirksame Regelung durch eine solche zu ersetzen, die dem Vertragszweck wirtschaftlich entspricht.</w:t>
      </w: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r w:rsidRPr="0012455C">
        <w:rPr>
          <w:rFonts w:cstheme="minorHAnsi"/>
          <w:sz w:val="20"/>
          <w:szCs w:val="20"/>
          <w:lang w:val="de-DE"/>
        </w:rPr>
        <w:t xml:space="preserve">Konditionen: </w:t>
      </w:r>
      <w:bookmarkStart w:id="24" w:name="DiscountConditions"/>
      <w:bookmarkEnd w:id="24"/>
    </w:p>
    <w:p w:rsidR="0012455C" w:rsidRDefault="0012455C" w:rsidP="00E1735E">
      <w:pPr>
        <w:pStyle w:val="NoSpacing"/>
        <w:rPr>
          <w:rFonts w:cstheme="minorHAnsi"/>
          <w:sz w:val="20"/>
          <w:szCs w:val="20"/>
          <w:lang w:val="de-DE"/>
        </w:rPr>
      </w:pPr>
      <w:proofErr w:type="gramStart"/>
      <w:r w:rsidRPr="0012455C">
        <w:rPr>
          <w:rFonts w:cstheme="minorHAnsi"/>
          <w:sz w:val="20"/>
          <w:szCs w:val="20"/>
          <w:lang w:val="de-DE"/>
        </w:rPr>
        <w:t>Bank</w:t>
      </w:r>
      <w:r w:rsidR="00B22EE8">
        <w:rPr>
          <w:rFonts w:cstheme="minorHAnsi"/>
          <w:sz w:val="20"/>
          <w:szCs w:val="20"/>
          <w:lang w:val="de-DE"/>
        </w:rPr>
        <w:t xml:space="preserve"> </w:t>
      </w:r>
      <w:r w:rsidRPr="003336CC">
        <w:rPr>
          <w:rFonts w:cstheme="minorHAnsi"/>
          <w:sz w:val="20"/>
          <w:szCs w:val="20"/>
          <w:lang w:val="de-DE"/>
        </w:rPr>
        <w:t>:</w:t>
      </w:r>
      <w:bookmarkStart w:id="25" w:name="ApplicantBank1"/>
      <w:bookmarkEnd w:id="25"/>
      <w:proofErr w:type="gramEnd"/>
      <w:r w:rsidR="007D2172" w:rsidRPr="003336CC">
        <w:rPr>
          <w:rFonts w:cstheme="minorHAnsi"/>
          <w:sz w:val="20"/>
          <w:szCs w:val="20"/>
          <w:lang w:val="de-DE"/>
        </w:rPr>
        <w:t xml:space="preserve"> , Karenztage</w:t>
      </w:r>
      <w:r w:rsidRPr="0012455C">
        <w:rPr>
          <w:rFonts w:cstheme="minorHAnsi"/>
          <w:sz w:val="20"/>
          <w:szCs w:val="20"/>
          <w:lang w:val="de-DE"/>
        </w:rPr>
        <w:t>: 18 Bankarbeitstage, bei fixe</w:t>
      </w:r>
      <w:r w:rsidR="00D55F7C">
        <w:rPr>
          <w:rFonts w:cstheme="minorHAnsi"/>
          <w:sz w:val="20"/>
          <w:szCs w:val="20"/>
          <w:lang w:val="de-DE"/>
        </w:rPr>
        <w:t>r Fälligkeit 3 Bankarbeitstage.</w:t>
      </w: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r w:rsidRPr="0012455C">
        <w:rPr>
          <w:rFonts w:cstheme="minorHAnsi"/>
          <w:sz w:val="20"/>
          <w:szCs w:val="20"/>
          <w:lang w:val="de-DE"/>
        </w:rPr>
        <w:t>Gebühren für die Akkreditivabwicklung:</w:t>
      </w:r>
    </w:p>
    <w:p w:rsidR="0012455C" w:rsidRDefault="0012455C" w:rsidP="00E1735E">
      <w:pPr>
        <w:pStyle w:val="NoSpacing"/>
        <w:rPr>
          <w:rFonts w:cstheme="minorHAnsi"/>
          <w:sz w:val="20"/>
          <w:szCs w:val="20"/>
          <w:lang w:val="de-DE"/>
        </w:rPr>
      </w:pPr>
      <w:bookmarkStart w:id="26" w:name="Charges"/>
      <w:bookmarkEnd w:id="26"/>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r w:rsidRPr="0012455C">
        <w:rPr>
          <w:rFonts w:cstheme="minorHAnsi"/>
          <w:sz w:val="20"/>
          <w:szCs w:val="20"/>
          <w:lang w:val="de-DE"/>
        </w:rPr>
        <w:t>Bestätigt und angenommen:</w:t>
      </w: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p>
    <w:p w:rsidR="0012455C" w:rsidRDefault="0012455C" w:rsidP="00E1735E">
      <w:pPr>
        <w:pStyle w:val="NoSpacing"/>
        <w:rPr>
          <w:rFonts w:cstheme="minorHAnsi"/>
          <w:sz w:val="20"/>
          <w:szCs w:val="20"/>
          <w:lang w:val="de-DE"/>
        </w:rPr>
      </w:pPr>
      <w:r>
        <w:rPr>
          <w:rFonts w:cstheme="minorHAnsi"/>
          <w:sz w:val="20"/>
          <w:szCs w:val="20"/>
          <w:lang w:val="de-DE"/>
        </w:rPr>
        <w:t>_________________________________</w:t>
      </w:r>
      <w:r>
        <w:rPr>
          <w:rFonts w:cstheme="minorHAnsi"/>
          <w:sz w:val="20"/>
          <w:szCs w:val="20"/>
          <w:lang w:val="de-DE"/>
        </w:rPr>
        <w:tab/>
      </w:r>
      <w:r>
        <w:rPr>
          <w:rFonts w:cstheme="minorHAnsi"/>
          <w:sz w:val="20"/>
          <w:szCs w:val="20"/>
          <w:lang w:val="de-DE"/>
        </w:rPr>
        <w:tab/>
      </w:r>
      <w:r>
        <w:rPr>
          <w:rFonts w:cstheme="minorHAnsi"/>
          <w:sz w:val="20"/>
          <w:szCs w:val="20"/>
          <w:lang w:val="de-DE"/>
        </w:rPr>
        <w:tab/>
      </w:r>
      <w:r>
        <w:rPr>
          <w:rFonts w:cstheme="minorHAnsi"/>
          <w:sz w:val="20"/>
          <w:szCs w:val="20"/>
          <w:lang w:val="de-DE"/>
        </w:rPr>
        <w:tab/>
        <w:t>______________________________</w:t>
      </w:r>
    </w:p>
    <w:p w:rsidR="0012455C" w:rsidRPr="0012455C" w:rsidRDefault="0012455C" w:rsidP="0012455C">
      <w:pPr>
        <w:pStyle w:val="NoSpacing"/>
        <w:rPr>
          <w:rFonts w:cstheme="minorHAnsi"/>
          <w:sz w:val="20"/>
          <w:szCs w:val="20"/>
          <w:lang w:val="de-DE"/>
        </w:rPr>
      </w:pPr>
      <w:r w:rsidRPr="0012455C">
        <w:rPr>
          <w:rFonts w:cstheme="minorHAnsi"/>
          <w:sz w:val="20"/>
          <w:szCs w:val="20"/>
        </w:rPr>
        <w:t>Ort, Datum</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lang w:val="de-DE"/>
        </w:rPr>
        <w:t>Firmenstempel, Unterschrift</w:t>
      </w:r>
    </w:p>
    <w:p w:rsidR="0012455C" w:rsidRPr="00E1735E" w:rsidRDefault="0012455C" w:rsidP="00E1735E">
      <w:pPr>
        <w:pStyle w:val="NoSpacing"/>
        <w:rPr>
          <w:rFonts w:cstheme="minorHAnsi"/>
          <w:sz w:val="20"/>
          <w:szCs w:val="20"/>
          <w:lang w:val="de-DE"/>
        </w:rPr>
      </w:pPr>
    </w:p>
    <w:sectPr w:rsidR="0012455C" w:rsidRPr="00E1735E" w:rsidSect="000B6CF2">
      <w:headerReference w:type="default" r:id="rId8"/>
      <w:footerReference w:type="default" r:id="rId9"/>
      <w:pgSz w:w="11906" w:h="16838"/>
      <w:pgMar w:top="709"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CF2" w:rsidRDefault="000B6CF2" w:rsidP="000B6CF2">
      <w:pPr>
        <w:spacing w:after="0" w:line="240" w:lineRule="auto"/>
      </w:pPr>
      <w:r>
        <w:separator/>
      </w:r>
    </w:p>
  </w:endnote>
  <w:endnote w:type="continuationSeparator" w:id="0">
    <w:p w:rsidR="000B6CF2" w:rsidRDefault="000B6CF2" w:rsidP="000B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91917"/>
      <w:docPartObj>
        <w:docPartGallery w:val="Page Numbers (Bottom of Page)"/>
        <w:docPartUnique/>
      </w:docPartObj>
    </w:sdtPr>
    <w:sdtEndPr>
      <w:rPr>
        <w:color w:val="7F7F7F" w:themeColor="background1" w:themeShade="7F"/>
        <w:spacing w:val="60"/>
      </w:rPr>
    </w:sdtEndPr>
    <w:sdtContent>
      <w:p w:rsidR="00D55F7C" w:rsidRDefault="00D55F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16ED">
          <w:rPr>
            <w:noProof/>
          </w:rPr>
          <w:t>2</w:t>
        </w:r>
        <w:r>
          <w:rPr>
            <w:noProof/>
          </w:rPr>
          <w:fldChar w:fldCharType="end"/>
        </w:r>
        <w:r>
          <w:t xml:space="preserve"> | </w:t>
        </w:r>
        <w:proofErr w:type="spellStart"/>
        <w:r>
          <w:rPr>
            <w:color w:val="7F7F7F" w:themeColor="background1" w:themeShade="7F"/>
            <w:spacing w:val="60"/>
          </w:rPr>
          <w:t>Seite</w:t>
        </w:r>
        <w:proofErr w:type="spellEnd"/>
      </w:p>
    </w:sdtContent>
  </w:sdt>
  <w:p w:rsidR="00D55F7C" w:rsidRDefault="00D55F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CF2" w:rsidRDefault="000B6CF2" w:rsidP="000B6CF2">
      <w:pPr>
        <w:spacing w:after="0" w:line="240" w:lineRule="auto"/>
      </w:pPr>
      <w:r>
        <w:separator/>
      </w:r>
    </w:p>
  </w:footnote>
  <w:footnote w:type="continuationSeparator" w:id="0">
    <w:p w:rsidR="000B6CF2" w:rsidRDefault="000B6CF2" w:rsidP="000B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CF2" w:rsidRPr="000B6CF2" w:rsidRDefault="000B6CF2">
    <w:pPr>
      <w:pStyle w:val="Header"/>
      <w:rPr>
        <w:sz w:val="18"/>
        <w:szCs w:val="18"/>
        <w:lang w:val="de-DE"/>
      </w:rPr>
    </w:pPr>
    <w:r w:rsidRPr="000B6CF2">
      <w:rPr>
        <w:sz w:val="18"/>
        <w:szCs w:val="18"/>
        <w:lang w:val="de-DE"/>
      </w:rPr>
      <w:t xml:space="preserve">Referenz: </w:t>
    </w:r>
    <w:bookmarkStart w:id="27" w:name="OurReference"/>
    <w:bookmarkEnd w:id="27"/>
    <w:r w:rsidRPr="000B6CF2">
      <w:rPr>
        <w:sz w:val="18"/>
        <w:szCs w:val="18"/>
        <w:lang w:val="de-DE"/>
      </w:rPr>
      <w:t xml:space="preserve">     LC Nr.</w:t>
    </w:r>
    <w:bookmarkStart w:id="28" w:name="LcReference"/>
    <w:bookmarkEnd w:id="28"/>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B1E0E"/>
    <w:multiLevelType w:val="hybridMultilevel"/>
    <w:tmpl w:val="276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5E"/>
    <w:rsid w:val="000B6CF2"/>
    <w:rsid w:val="000E26D1"/>
    <w:rsid w:val="0012455C"/>
    <w:rsid w:val="00212F39"/>
    <w:rsid w:val="002A14D2"/>
    <w:rsid w:val="002E3897"/>
    <w:rsid w:val="003336CC"/>
    <w:rsid w:val="003906CC"/>
    <w:rsid w:val="003B57CB"/>
    <w:rsid w:val="003E39DE"/>
    <w:rsid w:val="0040572B"/>
    <w:rsid w:val="00443E9C"/>
    <w:rsid w:val="004B16ED"/>
    <w:rsid w:val="004D7140"/>
    <w:rsid w:val="005E28E5"/>
    <w:rsid w:val="00634D89"/>
    <w:rsid w:val="006A7542"/>
    <w:rsid w:val="007609E5"/>
    <w:rsid w:val="00770A05"/>
    <w:rsid w:val="007B5C0B"/>
    <w:rsid w:val="007D2172"/>
    <w:rsid w:val="008558FD"/>
    <w:rsid w:val="008F570A"/>
    <w:rsid w:val="00944200"/>
    <w:rsid w:val="00A32203"/>
    <w:rsid w:val="00A705BC"/>
    <w:rsid w:val="00A90497"/>
    <w:rsid w:val="00B22EE8"/>
    <w:rsid w:val="00B329E3"/>
    <w:rsid w:val="00B74A50"/>
    <w:rsid w:val="00C95B66"/>
    <w:rsid w:val="00CA7AE1"/>
    <w:rsid w:val="00D55F7C"/>
    <w:rsid w:val="00E1735E"/>
    <w:rsid w:val="00E20081"/>
    <w:rsid w:val="00E63065"/>
    <w:rsid w:val="00EA7062"/>
    <w:rsid w:val="00ED221B"/>
    <w:rsid w:val="00F1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D6DCD90"/>
  <w15:chartTrackingRefBased/>
  <w15:docId w15:val="{D598D2C1-196B-421A-8D01-77DCC9FF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35E"/>
    <w:pPr>
      <w:spacing w:after="0" w:line="240" w:lineRule="auto"/>
    </w:pPr>
  </w:style>
  <w:style w:type="table" w:styleId="TableGrid">
    <w:name w:val="Table Grid"/>
    <w:basedOn w:val="TableNormal"/>
    <w:uiPriority w:val="39"/>
    <w:rsid w:val="00E17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CF2"/>
  </w:style>
  <w:style w:type="paragraph" w:styleId="Footer">
    <w:name w:val="footer"/>
    <w:basedOn w:val="Normal"/>
    <w:link w:val="FooterChar"/>
    <w:uiPriority w:val="99"/>
    <w:unhideWhenUsed/>
    <w:rsid w:val="000B6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CF2"/>
  </w:style>
  <w:style w:type="character" w:styleId="Hyperlink">
    <w:name w:val="Hyperlink"/>
    <w:basedOn w:val="DefaultParagraphFont"/>
    <w:uiPriority w:val="99"/>
    <w:unhideWhenUsed/>
    <w:rsid w:val="003E39DE"/>
    <w:rPr>
      <w:color w:val="0563C1" w:themeColor="hyperlink"/>
      <w:u w:val="single"/>
    </w:rPr>
  </w:style>
  <w:style w:type="paragraph" w:styleId="Date">
    <w:name w:val="Date"/>
    <w:basedOn w:val="Normal"/>
    <w:next w:val="Normal"/>
    <w:link w:val="DateChar"/>
    <w:uiPriority w:val="99"/>
    <w:semiHidden/>
    <w:unhideWhenUsed/>
    <w:rsid w:val="002E3897"/>
  </w:style>
  <w:style w:type="character" w:customStyle="1" w:styleId="DateChar">
    <w:name w:val="Date Char"/>
    <w:basedOn w:val="DefaultParagraphFont"/>
    <w:link w:val="Date"/>
    <w:uiPriority w:val="99"/>
    <w:semiHidden/>
    <w:rsid w:val="002E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25475">
      <w:bodyDiv w:val="1"/>
      <w:marLeft w:val="0"/>
      <w:marRight w:val="0"/>
      <w:marTop w:val="0"/>
      <w:marBottom w:val="0"/>
      <w:divBdr>
        <w:top w:val="none" w:sz="0" w:space="0" w:color="auto"/>
        <w:left w:val="none" w:sz="0" w:space="0" w:color="auto"/>
        <w:bottom w:val="none" w:sz="0" w:space="0" w:color="auto"/>
        <w:right w:val="none" w:sz="0" w:space="0" w:color="auto"/>
      </w:divBdr>
    </w:div>
    <w:div w:id="761098852">
      <w:bodyDiv w:val="1"/>
      <w:marLeft w:val="0"/>
      <w:marRight w:val="0"/>
      <w:marTop w:val="0"/>
      <w:marBottom w:val="0"/>
      <w:divBdr>
        <w:top w:val="none" w:sz="0" w:space="0" w:color="auto"/>
        <w:left w:val="none" w:sz="0" w:space="0" w:color="auto"/>
        <w:bottom w:val="none" w:sz="0" w:space="0" w:color="auto"/>
        <w:right w:val="none" w:sz="0" w:space="0" w:color="auto"/>
      </w:divBdr>
    </w:div>
    <w:div w:id="1039008301">
      <w:bodyDiv w:val="1"/>
      <w:marLeft w:val="0"/>
      <w:marRight w:val="0"/>
      <w:marTop w:val="0"/>
      <w:marBottom w:val="0"/>
      <w:divBdr>
        <w:top w:val="none" w:sz="0" w:space="0" w:color="auto"/>
        <w:left w:val="none" w:sz="0" w:space="0" w:color="auto"/>
        <w:bottom w:val="none" w:sz="0" w:space="0" w:color="auto"/>
        <w:right w:val="none" w:sz="0" w:space="0" w:color="auto"/>
      </w:divBdr>
    </w:div>
    <w:div w:id="1518228252">
      <w:bodyDiv w:val="1"/>
      <w:marLeft w:val="0"/>
      <w:marRight w:val="0"/>
      <w:marTop w:val="0"/>
      <w:marBottom w:val="0"/>
      <w:divBdr>
        <w:top w:val="none" w:sz="0" w:space="0" w:color="auto"/>
        <w:left w:val="none" w:sz="0" w:space="0" w:color="auto"/>
        <w:bottom w:val="none" w:sz="0" w:space="0" w:color="auto"/>
        <w:right w:val="none" w:sz="0" w:space="0" w:color="auto"/>
      </w:divBdr>
    </w:div>
    <w:div w:id="1972590134">
      <w:bodyDiv w:val="1"/>
      <w:marLeft w:val="0"/>
      <w:marRight w:val="0"/>
      <w:marTop w:val="0"/>
      <w:marBottom w:val="0"/>
      <w:divBdr>
        <w:top w:val="none" w:sz="0" w:space="0" w:color="auto"/>
        <w:left w:val="none" w:sz="0" w:space="0" w:color="auto"/>
        <w:bottom w:val="none" w:sz="0" w:space="0" w:color="auto"/>
        <w:right w:val="none" w:sz="0" w:space="0" w:color="auto"/>
      </w:divBdr>
    </w:div>
    <w:div w:id="20238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94C18-7B12-4ED6-8FCA-0B39E282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36</cp:revision>
  <dcterms:created xsi:type="dcterms:W3CDTF">2019-01-30T12:37:00Z</dcterms:created>
  <dcterms:modified xsi:type="dcterms:W3CDTF">2019-03-15T14:09:00Z</dcterms:modified>
</cp:coreProperties>
</file>