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4948"/>
      </w:tblGrid>
      <w:tr w:rsidR="00C57A98" w:rsidRPr="00C57A98" w14:paraId="6013E8D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89B1B" w14:textId="20154F53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</w:t>
            </w: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itle Page</w:t>
            </w:r>
          </w:p>
        </w:tc>
        <w:tc>
          <w:tcPr>
            <w:tcW w:w="0" w:type="auto"/>
            <w:vAlign w:val="center"/>
            <w:hideMark/>
          </w:tcPr>
          <w:p w14:paraId="5F7329B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Keep as is; include student info, title, module, date</w:t>
            </w:r>
          </w:p>
        </w:tc>
      </w:tr>
    </w:tbl>
    <w:p w14:paraId="76D90D2C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3362"/>
      </w:tblGrid>
      <w:tr w:rsidR="00C57A98" w:rsidRPr="00C57A98" w14:paraId="7A35322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B35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Abstract</w:t>
            </w:r>
          </w:p>
        </w:tc>
        <w:tc>
          <w:tcPr>
            <w:tcW w:w="0" w:type="auto"/>
            <w:vAlign w:val="center"/>
            <w:hideMark/>
          </w:tcPr>
          <w:p w14:paraId="17964080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150–250 words; concise summary</w:t>
            </w:r>
          </w:p>
        </w:tc>
      </w:tr>
    </w:tbl>
    <w:p w14:paraId="65D2298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6"/>
        <w:gridCol w:w="1595"/>
      </w:tblGrid>
      <w:tr w:rsidR="00C57A98" w:rsidRPr="00C57A98" w14:paraId="66E32D4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124B2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Table of Contents / Lists of Figures &amp; Tables</w:t>
            </w:r>
          </w:p>
        </w:tc>
        <w:tc>
          <w:tcPr>
            <w:tcW w:w="0" w:type="auto"/>
            <w:vAlign w:val="center"/>
            <w:hideMark/>
          </w:tcPr>
          <w:p w14:paraId="3D39A10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Auto-numbered</w:t>
            </w:r>
          </w:p>
        </w:tc>
      </w:tr>
    </w:tbl>
    <w:p w14:paraId="344D15A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5195"/>
      </w:tblGrid>
      <w:tr w:rsidR="00C57A98" w:rsidRPr="00C57A98" w14:paraId="3895774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449C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1. Introduction</w:t>
            </w:r>
          </w:p>
        </w:tc>
        <w:tc>
          <w:tcPr>
            <w:tcW w:w="0" w:type="auto"/>
            <w:vAlign w:val="center"/>
            <w:hideMark/>
          </w:tcPr>
          <w:p w14:paraId="32CE8A1E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purpose, background, and aims; sets scope</w:t>
            </w:r>
          </w:p>
        </w:tc>
      </w:tr>
    </w:tbl>
    <w:p w14:paraId="590E3C4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6"/>
        <w:gridCol w:w="5830"/>
      </w:tblGrid>
      <w:tr w:rsidR="00C57A98" w:rsidRPr="00C57A98" w14:paraId="33F8DB07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6D4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2. Background &amp; Literature Review</w:t>
            </w:r>
          </w:p>
        </w:tc>
        <w:tc>
          <w:tcPr>
            <w:tcW w:w="0" w:type="auto"/>
            <w:vAlign w:val="center"/>
            <w:hideMark/>
          </w:tcPr>
          <w:p w14:paraId="270CDFF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Merge Historical Context + Current Context + Technical Foundations here</w:t>
            </w:r>
          </w:p>
        </w:tc>
      </w:tr>
    </w:tbl>
    <w:p w14:paraId="6CF75C4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3"/>
        <w:gridCol w:w="6173"/>
      </w:tblGrid>
      <w:tr w:rsidR="00C57A98" w:rsidRPr="00C57A98" w14:paraId="51A30275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C0D9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3. Applications &amp; Use Cases</w:t>
            </w:r>
          </w:p>
        </w:tc>
        <w:tc>
          <w:tcPr>
            <w:tcW w:w="0" w:type="auto"/>
            <w:vAlign w:val="center"/>
            <w:hideMark/>
          </w:tcPr>
          <w:p w14:paraId="45C27F8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Combines “Industry Adoption” + “Applications and Case Studies”</w:t>
            </w:r>
          </w:p>
        </w:tc>
      </w:tr>
    </w:tbl>
    <w:p w14:paraId="75A226FB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9"/>
        <w:gridCol w:w="4941"/>
      </w:tblGrid>
      <w:tr w:rsidR="00C57A98" w:rsidRPr="00C57A98" w14:paraId="1959061D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5B46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4. Ethical &amp; Societal Implications</w:t>
            </w:r>
          </w:p>
        </w:tc>
        <w:tc>
          <w:tcPr>
            <w:tcW w:w="0" w:type="auto"/>
            <w:vAlign w:val="center"/>
            <w:hideMark/>
          </w:tcPr>
          <w:p w14:paraId="69C0827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Challenges, limitations, privacy, bias, accessibility</w:t>
            </w:r>
          </w:p>
        </w:tc>
      </w:tr>
    </w:tbl>
    <w:p w14:paraId="074C50F1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5"/>
        <w:gridCol w:w="4201"/>
      </w:tblGrid>
      <w:tr w:rsidR="00C57A98" w:rsidRPr="00C57A98" w14:paraId="6DAD93B4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9EF31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5. Problem / Opportunity Statement</w:t>
            </w:r>
          </w:p>
        </w:tc>
        <w:tc>
          <w:tcPr>
            <w:tcW w:w="0" w:type="auto"/>
            <w:vAlign w:val="center"/>
            <w:hideMark/>
          </w:tcPr>
          <w:p w14:paraId="7EE9E2C5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Highlight the research gap; SDG relevance</w:t>
            </w:r>
          </w:p>
        </w:tc>
      </w:tr>
    </w:tbl>
    <w:p w14:paraId="37084F36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6"/>
        <w:gridCol w:w="5380"/>
      </w:tblGrid>
      <w:tr w:rsidR="00C57A98" w:rsidRPr="00C57A98" w14:paraId="2333996B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396F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6. Proposed System Design / Methodology</w:t>
            </w:r>
          </w:p>
        </w:tc>
        <w:tc>
          <w:tcPr>
            <w:tcW w:w="0" w:type="auto"/>
            <w:vAlign w:val="center"/>
            <w:hideMark/>
          </w:tcPr>
          <w:p w14:paraId="54538574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Methodology + system design, technical architecture, inputs/outputs</w:t>
            </w:r>
          </w:p>
        </w:tc>
      </w:tr>
    </w:tbl>
    <w:p w14:paraId="0D917564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9"/>
        <w:gridCol w:w="6567"/>
      </w:tblGrid>
      <w:tr w:rsidR="00C57A98" w:rsidRPr="00C57A98" w14:paraId="0C4F0BDF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36CD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7. Discussion &amp; Analysis</w:t>
            </w:r>
          </w:p>
        </w:tc>
        <w:tc>
          <w:tcPr>
            <w:tcW w:w="0" w:type="auto"/>
            <w:vAlign w:val="center"/>
            <w:hideMark/>
          </w:tcPr>
          <w:p w14:paraId="66B01629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Interpret findings, compare with conventional solutions, future prospects</w:t>
            </w:r>
          </w:p>
        </w:tc>
      </w:tr>
    </w:tbl>
    <w:p w14:paraId="4F872FD8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9"/>
        <w:gridCol w:w="3408"/>
      </w:tblGrid>
      <w:tr w:rsidR="00C57A98" w:rsidRPr="00C57A98" w14:paraId="44EA38B8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3566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8. Recommendations</w:t>
            </w:r>
          </w:p>
        </w:tc>
        <w:tc>
          <w:tcPr>
            <w:tcW w:w="0" w:type="auto"/>
            <w:vAlign w:val="center"/>
            <w:hideMark/>
          </w:tcPr>
          <w:p w14:paraId="0256543C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Actionable steps based on analysis</w:t>
            </w:r>
          </w:p>
        </w:tc>
      </w:tr>
    </w:tbl>
    <w:p w14:paraId="688ECA27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3"/>
        <w:gridCol w:w="6240"/>
      </w:tblGrid>
      <w:tr w:rsidR="00C57A98" w:rsidRPr="00C57A98" w14:paraId="6A10A640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E2CCF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9. Conclusion</w:t>
            </w:r>
          </w:p>
        </w:tc>
        <w:tc>
          <w:tcPr>
            <w:tcW w:w="0" w:type="auto"/>
            <w:vAlign w:val="center"/>
            <w:hideMark/>
          </w:tcPr>
          <w:p w14:paraId="7439D797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Summarize contributions, reiterate significance, SDG alignment</w:t>
            </w:r>
          </w:p>
        </w:tc>
      </w:tr>
    </w:tbl>
    <w:p w14:paraId="1BC6E2C2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1649"/>
      </w:tblGrid>
      <w:tr w:rsidR="00C57A98" w:rsidRPr="00C57A98" w14:paraId="5C330F9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5E978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References</w:t>
            </w:r>
          </w:p>
        </w:tc>
        <w:tc>
          <w:tcPr>
            <w:tcW w:w="0" w:type="auto"/>
            <w:vAlign w:val="center"/>
            <w:hideMark/>
          </w:tcPr>
          <w:p w14:paraId="700A74E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APA 7th edition</w:t>
            </w:r>
          </w:p>
        </w:tc>
      </w:tr>
    </w:tbl>
    <w:p w14:paraId="2DE9051E" w14:textId="77777777" w:rsidR="00C57A98" w:rsidRPr="00C57A98" w:rsidRDefault="00C57A98" w:rsidP="00C57A98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Z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4854"/>
      </w:tblGrid>
      <w:tr w:rsidR="00C57A98" w:rsidRPr="00C57A98" w14:paraId="41DB7AB1" w14:textId="77777777" w:rsidTr="00C57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628C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Appendices</w:t>
            </w:r>
          </w:p>
        </w:tc>
        <w:tc>
          <w:tcPr>
            <w:tcW w:w="0" w:type="auto"/>
            <w:vAlign w:val="center"/>
            <w:hideMark/>
          </w:tcPr>
          <w:p w14:paraId="5306AB03" w14:textId="77777777" w:rsidR="00C57A98" w:rsidRPr="00C57A98" w:rsidRDefault="00C57A98" w:rsidP="00C57A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C57A98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Figures, tables, diagrams, supplementary material</w:t>
            </w:r>
          </w:p>
        </w:tc>
      </w:tr>
    </w:tbl>
    <w:p w14:paraId="7818A4DA" w14:textId="6D95F455" w:rsidR="00366421" w:rsidRDefault="00366421"/>
    <w:p w14:paraId="2CCB6401" w14:textId="11C84F69" w:rsidR="001325C6" w:rsidRDefault="001325C6"/>
    <w:p w14:paraId="53487291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1️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Abstract (≈250 words)</w:t>
      </w:r>
    </w:p>
    <w:p w14:paraId="1D600F4D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Give the reader the movie trailer — concise summary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what, why, how, and what it means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937C2A9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B337E06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background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technology’s impact on mental health and cognition.</w:t>
      </w:r>
    </w:p>
    <w:p w14:paraId="41768199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 line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problem statement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rapid tech evolution → human brain adaptation challenge.</w:t>
      </w:r>
    </w:p>
    <w:p w14:paraId="7A56A71E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methods/approach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: conceptual synthesis using DP,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, and neurotech (2020–2025).</w:t>
      </w:r>
    </w:p>
    <w:p w14:paraId="69561040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2–3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key insight/findings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benefits + risks + ethical implications.</w:t>
      </w:r>
    </w:p>
    <w:p w14:paraId="25BA45E3" w14:textId="77777777" w:rsidR="001325C6" w:rsidRPr="001325C6" w:rsidRDefault="001325C6" w:rsidP="001325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1–2 lines of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implications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: alignment with SDG 3 &amp; 4.</w:t>
      </w:r>
    </w:p>
    <w:p w14:paraId="7617D8B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 tip: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Finish by pointing to how the introduction expands on this issue in depth.</w:t>
      </w:r>
    </w:p>
    <w:p w14:paraId="0BE31BF0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061BFC68">
          <v:rect id="_x0000_i1025" style="width:0;height:1.5pt" o:hralign="center" o:hrstd="t" o:hr="t" fillcolor="#a0a0a0" stroked="f"/>
        </w:pict>
      </w:r>
    </w:p>
    <w:p w14:paraId="22B3861A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Introduction (≈800 words)</w:t>
      </w:r>
    </w:p>
    <w:p w14:paraId="5C2C6AF6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Anchor the reader in the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of the research — the global cognitive challenge in the age of technology.</w:t>
      </w:r>
    </w:p>
    <w:p w14:paraId="2F103F3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1D556D95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Historical setup: how tech and cognition have co-evolved (writing → AI).</w:t>
      </w:r>
    </w:p>
    <w:p w14:paraId="7159AFBD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Define the problem: information overload, automation, and cognitive offloading.</w:t>
      </w:r>
    </w:p>
    <w:p w14:paraId="18B7D1DC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State the scope: focusing on Digital Phenotyping, Digital Therapeutics, and Neurotechnology.</w:t>
      </w:r>
    </w:p>
    <w:p w14:paraId="5EFAA37C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Connect to global goals (SDG 3, 4, 9).</w:t>
      </w:r>
    </w:p>
    <w:p w14:paraId="505EBF96" w14:textId="77777777" w:rsidR="001325C6" w:rsidRPr="001325C6" w:rsidRDefault="001325C6" w:rsidP="001325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End with the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aims and structure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of the paper (mini road map).</w:t>
      </w:r>
    </w:p>
    <w:p w14:paraId="5DE8BAC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“To situate this discussion within existing academic thought, the next section reviews key literature that explores the intersection of technology and human cognition.”</w:t>
      </w:r>
    </w:p>
    <w:p w14:paraId="4452439A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7AAEC691">
          <v:rect id="_x0000_i1026" style="width:0;height:1.5pt" o:hralign="center" o:hrstd="t" o:hr="t" fillcolor="#a0a0a0" stroked="f"/>
        </w:pict>
      </w:r>
    </w:p>
    <w:p w14:paraId="22F84696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Literature Review (≈1 000 words)</w:t>
      </w:r>
    </w:p>
    <w:p w14:paraId="29B8A19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Show mastery of what has been written and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reveal the gap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your paper addresses.</w:t>
      </w:r>
    </w:p>
    <w:p w14:paraId="2B1BE111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67962064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Theoretical foundations: cognitive load theory, neuroplasticity, digital cognition.</w:t>
      </w:r>
    </w:p>
    <w:p w14:paraId="056586A8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Key fields: neuroscience, AI ethics, educational psychology, cognitive science.</w:t>
      </w:r>
    </w:p>
    <w:p w14:paraId="22EB84D8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Review of studies (2020–2025) linking technology use to brain outcomes.</w:t>
      </w:r>
    </w:p>
    <w:p w14:paraId="40541395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Current limitations: fragmented data, lack of longitudinal evidence, ethical opacity.</w:t>
      </w:r>
    </w:p>
    <w:p w14:paraId="74800F0C" w14:textId="77777777" w:rsidR="001325C6" w:rsidRPr="001325C6" w:rsidRDefault="001325C6" w:rsidP="001325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Emerging thought: digital phenotyping and neurotech as integrative approaches.</w:t>
      </w:r>
    </w:p>
    <w:p w14:paraId="6FCE29FB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“Building upon these studies, this report employs a structured analytical method to synthesise insights from across disciplines.”</w:t>
      </w:r>
    </w:p>
    <w:p w14:paraId="532D6E4E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1E04B000">
          <v:rect id="_x0000_i1027" style="width:0;height:1.5pt" o:hralign="center" o:hrstd="t" o:hr="t" fillcolor="#a0a0a0" stroked="f"/>
        </w:pict>
      </w:r>
    </w:p>
    <w:p w14:paraId="10ED8460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Methodology (≈300 words)</w:t>
      </w:r>
    </w:p>
    <w:p w14:paraId="02FC08C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Explain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you gathered, filtered, and analysed evidence — even conceptually.</w:t>
      </w:r>
    </w:p>
    <w:p w14:paraId="19E99316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0BC6FD6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Research design: qualitative conceptual synthesis.</w:t>
      </w:r>
    </w:p>
    <w:p w14:paraId="481B421A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Data sources: Scopus, PubMed, IEEE, WHO, OECD (2020–2025).</w:t>
      </w:r>
    </w:p>
    <w:p w14:paraId="58C3C5B9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Inclusion criteria: peer-reviewed, relevance to cognition/mental health.</w:t>
      </w:r>
    </w:p>
    <w:p w14:paraId="698521B9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Analytical framework: thematic coding into categories (applications, risks, policy, etc.).</w:t>
      </w:r>
    </w:p>
    <w:p w14:paraId="336B960B" w14:textId="77777777" w:rsidR="001325C6" w:rsidRPr="001325C6" w:rsidRDefault="001325C6" w:rsidP="001325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Limitations: secondary analysis; interpretive bias; evolving tech landscape.</w:t>
      </w:r>
    </w:p>
    <w:p w14:paraId="4167E3A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“Using this framework, the following section explores how these technologies are currently being applied across health, cognitive and educational domains.”</w:t>
      </w:r>
    </w:p>
    <w:p w14:paraId="4996998C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34E0A546">
          <v:rect id="_x0000_i1028" style="width:0;height:1.5pt" o:hralign="center" o:hrstd="t" o:hr="t" fillcolor="#a0a0a0" stroked="f"/>
        </w:pict>
      </w:r>
    </w:p>
    <w:p w14:paraId="318D7C0F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Applications (≈1 000 words)</w:t>
      </w:r>
    </w:p>
    <w:p w14:paraId="1BDD0A0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Illustrate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 theory meets practice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9D608A2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Organise by theme or technology:</w:t>
      </w:r>
    </w:p>
    <w:p w14:paraId="7315E5C5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Phenotyping: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real-time monitoring, cognitive analytics, predictive models.</w:t>
      </w:r>
    </w:p>
    <w:p w14:paraId="2A1CBC3D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Digital Therapeutics: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clinical mental health apps, AI-guided CBT, brain-computer feedback.</w:t>
      </w:r>
    </w:p>
    <w:p w14:paraId="2B6E4BCD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Neurotechnology: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BCIs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, EEG wearables,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tDCS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/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tMS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for learning enhancement.</w:t>
      </w:r>
    </w:p>
    <w:p w14:paraId="415EB091" w14:textId="77777777" w:rsidR="001325C6" w:rsidRPr="001325C6" w:rsidRDefault="001325C6" w:rsidP="001325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Cross-sector integration (education, healthcare, workplaces).</w:t>
      </w:r>
    </w:p>
    <w:p w14:paraId="68A8943F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“While these applications demonstrate substantial promise, critical analysis reveals underlying cognitive, ethical, and societal tensions that must be addressed.”</w:t>
      </w:r>
    </w:p>
    <w:p w14:paraId="264C3278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9314DE4">
          <v:rect id="_x0000_i1029" style="width:0;height:1.5pt" o:hralign="center" o:hrstd="t" o:hr="t" fillcolor="#a0a0a0" stroked="f"/>
        </w:pict>
      </w:r>
    </w:p>
    <w:p w14:paraId="5438E98E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6️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Analysis (≈600 words)</w:t>
      </w:r>
    </w:p>
    <w:p w14:paraId="2664BCC3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Synthesis zone — interpret what all this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means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01AA45F5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7C4A758F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Identify overarching patterns (e.g. shift from reactive to proactive care).</w:t>
      </w:r>
    </w:p>
    <w:p w14:paraId="4F8CD993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Evaluate balance between enhancement and dependency.</w:t>
      </w:r>
    </w:p>
    <w:p w14:paraId="6983ADB3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Discuss how tech changes cognitive architecture (attention, memory, decision-making).</w:t>
      </w:r>
    </w:p>
    <w:p w14:paraId="7BAB88EF" w14:textId="77777777" w:rsidR="001325C6" w:rsidRPr="001325C6" w:rsidRDefault="001325C6" w:rsidP="001325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Integrate theoretical models (e.g. Extended Mind Theory, Cognitive Offloading).</w:t>
      </w:r>
    </w:p>
    <w:p w14:paraId="7EB1420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“These insights also expose deep-rooted challenges that threaten equitable, ethical, and sustainable integration of brain-centred technologies.”</w:t>
      </w:r>
    </w:p>
    <w:p w14:paraId="713E83C5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385E709">
          <v:rect id="_x0000_i1030" style="width:0;height:1.5pt" o:hralign="center" o:hrstd="t" o:hr="t" fillcolor="#a0a0a0" stroked="f"/>
        </w:pict>
      </w:r>
    </w:p>
    <w:p w14:paraId="06520133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7️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Challenges (≈800 words)</w:t>
      </w:r>
    </w:p>
    <w:p w14:paraId="1304B2E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Deep dive into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ethical, technical, and societal limitations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.</w:t>
      </w:r>
    </w:p>
    <w:p w14:paraId="36503CA8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3F33D2B9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lastRenderedPageBreak/>
        <w:t>Ethical: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privacy, autonomy, informed consent, algorithmic transparency.</w:t>
      </w:r>
    </w:p>
    <w:p w14:paraId="4227C6F1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Social: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inequality of access, digital divide, mental health stigma.</w:t>
      </w:r>
    </w:p>
    <w:p w14:paraId="0B07ED30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Technical: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data quality, sensor bias, interpretive accuracy, lack of interoperability.</w:t>
      </w:r>
    </w:p>
    <w:p w14:paraId="4A22F18D" w14:textId="77777777" w:rsidR="001325C6" w:rsidRPr="001325C6" w:rsidRDefault="001325C6" w:rsidP="001325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Policy gap: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regulatory fragmentation, unclear liability.</w:t>
      </w:r>
    </w:p>
    <w:p w14:paraId="39998105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“Addressing these barriers requires a coherent set of recommendations for research, governance, and practical adoption.”</w:t>
      </w:r>
    </w:p>
    <w:p w14:paraId="50F76BA4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2FD41DA">
          <v:rect id="_x0000_i1031" style="width:0;height:1.5pt" o:hralign="center" o:hrstd="t" o:hr="t" fillcolor="#a0a0a0" stroked="f"/>
        </w:pict>
      </w:r>
    </w:p>
    <w:p w14:paraId="3EE94FB7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8️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Recommendations (≈400 words)</w:t>
      </w:r>
    </w:p>
    <w:p w14:paraId="17A3F0DB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Turn critique into constructive solutions.</w:t>
      </w:r>
    </w:p>
    <w:p w14:paraId="075BBF14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65BE1A9C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Academic: promote interdisciplinary neuro-digital research frameworks.</w:t>
      </w:r>
    </w:p>
    <w:p w14:paraId="490FC34A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Industrial: mandate ethical AI standards and open </w:t>
      </w:r>
      <w:proofErr w:type="spell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neurodata</w:t>
      </w:r>
      <w:proofErr w:type="spell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practices.</w:t>
      </w:r>
    </w:p>
    <w:p w14:paraId="7CC3C7F1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Educational: integrate cognitive literacy and responsible tech use.</w:t>
      </w:r>
    </w:p>
    <w:p w14:paraId="7DDA757D" w14:textId="77777777" w:rsidR="001325C6" w:rsidRPr="001325C6" w:rsidRDefault="001325C6" w:rsidP="001325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Policy: align with WHO, UN, OECD mental health innovation agendas.</w:t>
      </w:r>
    </w:p>
    <w:p w14:paraId="40DA2FE0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→ </w:t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Transition: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“These recommendations underscore the path forward, but their success ultimately depends on a shared understanding of humanity’s cognitive limits and technological aspirations.”</w:t>
      </w:r>
    </w:p>
    <w:p w14:paraId="0D6B7AC5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68D40C27">
          <v:rect id="_x0000_i1032" style="width:0;height:1.5pt" o:hralign="center" o:hrstd="t" o:hr="t" fillcolor="#a0a0a0" stroked="f"/>
        </w:pict>
      </w:r>
    </w:p>
    <w:p w14:paraId="6F519B99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9️</w:t>
      </w:r>
      <w:r w:rsidRPr="001325C6">
        <w:rPr>
          <w:rFonts w:ascii="Tahoma" w:eastAsia="Times New Roman" w:hAnsi="Tahoma" w:cs="Tahoma"/>
          <w:b/>
          <w:bCs/>
          <w:sz w:val="27"/>
          <w:szCs w:val="27"/>
          <w:lang w:eastAsia="en-ZA"/>
        </w:rPr>
        <w:t>⃣</w:t>
      </w:r>
      <w:r w:rsidRPr="001325C6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 xml:space="preserve"> Conclusion (≈200 words)</w:t>
      </w:r>
    </w:p>
    <w:p w14:paraId="28CB3A17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Purpose: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>Deliver the emotional and intellectual closure — the “so what”.</w:t>
      </w:r>
    </w:p>
    <w:p w14:paraId="1780416D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Content:</w:t>
      </w:r>
    </w:p>
    <w:p w14:paraId="2E5AA780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Restate the urgency of balancing technological progress with cognitive sustainability.</w:t>
      </w:r>
    </w:p>
    <w:p w14:paraId="66D8961D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Reinforce the paper’s contribution.</w:t>
      </w:r>
    </w:p>
    <w:p w14:paraId="1E03D4B7" w14:textId="77777777" w:rsidR="001325C6" w:rsidRPr="001325C6" w:rsidRDefault="001325C6" w:rsidP="001325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Close with a reflective or future-oriented statement (e.g., “The future of innovation will depend as much on our understanding of the brain as on our ability to engineer technology.”).</w:t>
      </w:r>
    </w:p>
    <w:p w14:paraId="140445D4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29E32AB5">
          <v:rect id="_x0000_i1033" style="width:0;height:1.5pt" o:hralign="center" o:hrstd="t" o:hr="t" fillcolor="#a0a0a0" stroked="f"/>
        </w:pict>
      </w:r>
    </w:p>
    <w:p w14:paraId="02F78539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1325C6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🔗</w:t>
      </w:r>
      <w:r w:rsidRPr="001325C6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How Transitions Work</w:t>
      </w:r>
    </w:p>
    <w:p w14:paraId="6CBE9FD0" w14:textId="77777777" w:rsidR="001325C6" w:rsidRPr="001325C6" w:rsidRDefault="001325C6" w:rsidP="0013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Think of </w:t>
      </w:r>
      <w:proofErr w:type="gramStart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this as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bridging paragraphs</w:t>
      </w:r>
      <w:proofErr w:type="gramEnd"/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that keep the flow seamless:</w:t>
      </w:r>
    </w:p>
    <w:p w14:paraId="6805F309" w14:textId="77777777" w:rsidR="001325C6" w:rsidRPr="001325C6" w:rsidRDefault="001325C6" w:rsidP="001325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Each section ends by signalling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the next section is necessary.</w:t>
      </w:r>
    </w:p>
    <w:p w14:paraId="47499695" w14:textId="77777777" w:rsidR="001325C6" w:rsidRPr="001325C6" w:rsidRDefault="001325C6" w:rsidP="001325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Use connective logic such as:</w:t>
      </w:r>
    </w:p>
    <w:p w14:paraId="6D22A4B3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“However,” “Building upon this,” “In contrast,” “To address this gap,”</w:t>
      </w:r>
    </w:p>
    <w:p w14:paraId="6515474F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“The next section therefore examines…”</w:t>
      </w:r>
    </w:p>
    <w:p w14:paraId="7C5D8B45" w14:textId="77777777" w:rsidR="001325C6" w:rsidRPr="001325C6" w:rsidRDefault="001325C6" w:rsidP="001325C6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>“These findings raise critical questions explored further below.”</w:t>
      </w:r>
    </w:p>
    <w:p w14:paraId="2BB4D3A6" w14:textId="77777777" w:rsidR="001325C6" w:rsidRPr="001325C6" w:rsidRDefault="001051F5" w:rsidP="001325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pict w14:anchorId="0AEA22DF">
          <v:rect id="_x0000_i1034" style="width:0;height:1.5pt" o:hralign="center" o:hrstd="t" o:hr="t" fillcolor="#a0a0a0" stroked="f"/>
        </w:pict>
      </w:r>
    </w:p>
    <w:p w14:paraId="53284B44" w14:textId="77777777" w:rsidR="001325C6" w:rsidRPr="001325C6" w:rsidRDefault="001325C6" w:rsidP="001325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1325C6">
        <w:rPr>
          <w:rFonts w:ascii="Segoe UI Emoji" w:eastAsia="Times New Roman" w:hAnsi="Segoe UI Emoji" w:cs="Segoe UI Emoji"/>
          <w:b/>
          <w:bCs/>
          <w:sz w:val="36"/>
          <w:szCs w:val="36"/>
          <w:lang w:eastAsia="en-ZA"/>
        </w:rPr>
        <w:t>📘</w:t>
      </w:r>
      <w:r w:rsidRPr="001325C6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 xml:space="preserve"> Example of the Logical Arc</w:t>
      </w:r>
    </w:p>
    <w:p w14:paraId="4BDC3FE0" w14:textId="77777777" w:rsidR="001325C6" w:rsidRPr="001325C6" w:rsidRDefault="001325C6" w:rsidP="001325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INTRO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defines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(the problem)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LIT REVIEW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shows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 we know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METHODOLOGY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explains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how we know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APPLICATIONS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shows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what’s happening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ANALYSIS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interprets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 matters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CHALLENGES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reveals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it’s not simple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RECOMMENDATIONS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proposes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what to do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1325C6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CONCLUSION</w:t>
      </w:r>
      <w:r w:rsidRPr="001325C6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→ reminds </w:t>
      </w:r>
      <w:r w:rsidRPr="001325C6">
        <w:rPr>
          <w:rFonts w:ascii="Times New Roman" w:eastAsia="Times New Roman" w:hAnsi="Times New Roman" w:cs="Times New Roman"/>
          <w:i/>
          <w:iCs/>
          <w:sz w:val="24"/>
          <w:szCs w:val="24"/>
          <w:lang w:eastAsia="en-ZA"/>
        </w:rPr>
        <w:t>why it matters long-term</w:t>
      </w:r>
    </w:p>
    <w:p w14:paraId="4C9B28D7" w14:textId="4C95B3C4" w:rsidR="001325C6" w:rsidRDefault="001325C6"/>
    <w:p w14:paraId="261E36C1" w14:textId="702747B4" w:rsidR="005063D9" w:rsidRDefault="005063D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1868"/>
        <w:gridCol w:w="2309"/>
        <w:gridCol w:w="1903"/>
        <w:gridCol w:w="1697"/>
      </w:tblGrid>
      <w:tr w:rsidR="005063D9" w:rsidRPr="005063D9" w14:paraId="1F0D8544" w14:textId="77777777" w:rsidTr="005063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AB406D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2D3647F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2C3403E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Core Question</w:t>
            </w:r>
          </w:p>
        </w:tc>
        <w:tc>
          <w:tcPr>
            <w:tcW w:w="0" w:type="auto"/>
            <w:vAlign w:val="center"/>
            <w:hideMark/>
          </w:tcPr>
          <w:p w14:paraId="578457C6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Cognitive Relevance</w:t>
            </w:r>
          </w:p>
        </w:tc>
        <w:tc>
          <w:tcPr>
            <w:tcW w:w="0" w:type="auto"/>
            <w:vAlign w:val="center"/>
            <w:hideMark/>
          </w:tcPr>
          <w:p w14:paraId="0B282B30" w14:textId="77777777" w:rsidR="005063D9" w:rsidRPr="005063D9" w:rsidRDefault="005063D9" w:rsidP="005063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Function in the Paper</w:t>
            </w:r>
          </w:p>
        </w:tc>
      </w:tr>
      <w:tr w:rsidR="005063D9" w:rsidRPr="005063D9" w14:paraId="33EA4088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E375A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705E53A1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Digital Phenotyping</w:t>
            </w:r>
          </w:p>
        </w:tc>
        <w:tc>
          <w:tcPr>
            <w:tcW w:w="0" w:type="auto"/>
            <w:vAlign w:val="center"/>
            <w:hideMark/>
          </w:tcPr>
          <w:p w14:paraId="6DBB42D1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measure the mind through digital behaviour?</w:t>
            </w:r>
          </w:p>
        </w:tc>
        <w:tc>
          <w:tcPr>
            <w:tcW w:w="0" w:type="auto"/>
            <w:vAlign w:val="center"/>
            <w:hideMark/>
          </w:tcPr>
          <w:p w14:paraId="43FF4B87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Captures cognition, emotion, and memory in data form.</w:t>
            </w:r>
          </w:p>
        </w:tc>
        <w:tc>
          <w:tcPr>
            <w:tcW w:w="0" w:type="auto"/>
            <w:vAlign w:val="center"/>
            <w:hideMark/>
          </w:tcPr>
          <w:p w14:paraId="340160C5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Measurement &amp; detection.</w:t>
            </w:r>
          </w:p>
        </w:tc>
      </w:tr>
      <w:tr w:rsidR="005063D9" w:rsidRPr="005063D9" w14:paraId="1876FBB9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A688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Intervention</w:t>
            </w:r>
          </w:p>
        </w:tc>
        <w:tc>
          <w:tcPr>
            <w:tcW w:w="0" w:type="auto"/>
            <w:vAlign w:val="center"/>
            <w:hideMark/>
          </w:tcPr>
          <w:p w14:paraId="564851E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Digital Therapeutics</w:t>
            </w:r>
          </w:p>
        </w:tc>
        <w:tc>
          <w:tcPr>
            <w:tcW w:w="0" w:type="auto"/>
            <w:vAlign w:val="center"/>
            <w:hideMark/>
          </w:tcPr>
          <w:p w14:paraId="2F7A6BAD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treat or enhance mental and cognitive functions using digital tools?</w:t>
            </w:r>
          </w:p>
        </w:tc>
        <w:tc>
          <w:tcPr>
            <w:tcW w:w="0" w:type="auto"/>
            <w:vAlign w:val="center"/>
            <w:hideMark/>
          </w:tcPr>
          <w:p w14:paraId="06818925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Modifies and strengthens cognitive processes.</w:t>
            </w:r>
          </w:p>
        </w:tc>
        <w:tc>
          <w:tcPr>
            <w:tcW w:w="0" w:type="auto"/>
            <w:vAlign w:val="center"/>
            <w:hideMark/>
          </w:tcPr>
          <w:p w14:paraId="3276F3E2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Therapy &amp; management.</w:t>
            </w:r>
          </w:p>
        </w:tc>
      </w:tr>
      <w:tr w:rsidR="005063D9" w:rsidRPr="005063D9" w14:paraId="114E7724" w14:textId="77777777" w:rsidTr="005063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39AC9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A75DBCC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ZA"/>
              </w:rPr>
              <w:t>Neurotechnology</w:t>
            </w:r>
          </w:p>
        </w:tc>
        <w:tc>
          <w:tcPr>
            <w:tcW w:w="0" w:type="auto"/>
            <w:vAlign w:val="center"/>
            <w:hideMark/>
          </w:tcPr>
          <w:p w14:paraId="267E0597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n-ZA"/>
              </w:rPr>
              <w:t>How do we connect directly with neural systems?</w:t>
            </w:r>
          </w:p>
        </w:tc>
        <w:tc>
          <w:tcPr>
            <w:tcW w:w="0" w:type="auto"/>
            <w:vAlign w:val="center"/>
            <w:hideMark/>
          </w:tcPr>
          <w:p w14:paraId="4BA93B96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Engages with the biological substrate of cognition.</w:t>
            </w:r>
          </w:p>
        </w:tc>
        <w:tc>
          <w:tcPr>
            <w:tcW w:w="0" w:type="auto"/>
            <w:vAlign w:val="center"/>
            <w:hideMark/>
          </w:tcPr>
          <w:p w14:paraId="365FB924" w14:textId="77777777" w:rsidR="005063D9" w:rsidRPr="005063D9" w:rsidRDefault="005063D9" w:rsidP="005063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</w:pPr>
            <w:r w:rsidRPr="005063D9">
              <w:rPr>
                <w:rFonts w:ascii="Times New Roman" w:eastAsia="Times New Roman" w:hAnsi="Times New Roman" w:cs="Times New Roman"/>
                <w:sz w:val="24"/>
                <w:szCs w:val="24"/>
                <w:lang w:eastAsia="en-ZA"/>
              </w:rPr>
              <w:t>Augmentation &amp; integration.</w:t>
            </w:r>
          </w:p>
        </w:tc>
      </w:tr>
    </w:tbl>
    <w:p w14:paraId="2DF6AA12" w14:textId="0A3D6A7C" w:rsidR="005063D9" w:rsidRDefault="005063D9"/>
    <w:p w14:paraId="712AD8AE" w14:textId="13C78FE9" w:rsidR="005063D9" w:rsidRDefault="005063D9"/>
    <w:p w14:paraId="784329C1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Cognition</w:t>
      </w:r>
      <w:proofErr w:type="gramEnd"/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captures cognitive expression (e.g., attention patterns);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trains cognition (e.g., via adaptive games); Neurotech enhances cognition (e.g., via brain stimulation or BCIs).</w:t>
      </w:r>
    </w:p>
    <w:p w14:paraId="43A5C028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Emotion</w:t>
      </w:r>
      <w:proofErr w:type="gramEnd"/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detects emotional fluctuation (e.g., tone of voice, sentiment);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stabilises or regulates emotion (e.g., CBT for anxiety); Neurotech modulates emotional circuits (e.g., amygdala or limbic stimulation).</w:t>
      </w:r>
    </w:p>
    <w:p w14:paraId="48C99FDD" w14:textId="77777777" w:rsidR="005063D9" w:rsidRPr="005063D9" w:rsidRDefault="005063D9" w:rsidP="005063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5063D9">
        <w:rPr>
          <w:rFonts w:ascii="Times New Roman" w:eastAsia="Times New Roman" w:hAnsi="Symbol" w:cs="Times New Roman"/>
          <w:sz w:val="24"/>
          <w:szCs w:val="24"/>
          <w:lang w:eastAsia="en-ZA"/>
        </w:rPr>
        <w:lastRenderedPageBreak/>
        <w:t>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Memory</w:t>
      </w:r>
      <w:proofErr w:type="gramEnd"/>
      <w:r w:rsidRPr="005063D9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:</w:t>
      </w:r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  <w:t xml:space="preserve">DP identifies behavioural traces of memory lapses (e.g., app-switching or navigation errors); </w:t>
      </w:r>
      <w:proofErr w:type="spellStart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>DTx</w:t>
      </w:r>
      <w:proofErr w:type="spellEnd"/>
      <w:r w:rsidRPr="005063D9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reinforces memory (e.g., spaced-retrieval training); Neurotech reactivates or restores memory (e.g., hippocampal implants).</w:t>
      </w:r>
    </w:p>
    <w:p w14:paraId="69E8AB7E" w14:textId="5557B588" w:rsidR="005063D9" w:rsidRDefault="005063D9"/>
    <w:p w14:paraId="20DBFBCC" w14:textId="2CD542EF" w:rsidR="00633205" w:rsidRDefault="00633205">
      <w:r>
        <w:t>To propose a sustainable, ethically grounded integration of Digital Phenotyping, Digital Therapeutics, and Neurotechnology that enhances cognitive resilience, emotional regulation, and educational adaptability — without eroding cognitive autonomy.</w:t>
      </w:r>
    </w:p>
    <w:p w14:paraId="0C759323" w14:textId="159A54B3" w:rsidR="001051F5" w:rsidRDefault="001051F5"/>
    <w:p w14:paraId="6CBE93A7" w14:textId="77777777" w:rsidR="001051F5" w:rsidRPr="001051F5" w:rsidRDefault="001051F5" w:rsidP="001051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1051F5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DP</w:t>
      </w:r>
      <w:proofErr w:type="gramEnd"/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detects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user’s state →</w:t>
      </w:r>
    </w:p>
    <w:p w14:paraId="6633524B" w14:textId="77777777" w:rsidR="001051F5" w:rsidRPr="001051F5" w:rsidRDefault="001051F5" w:rsidP="001051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1051F5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Neurotech</w:t>
      </w:r>
      <w:proofErr w:type="gramEnd"/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verifies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brain/physiological correlation →</w:t>
      </w:r>
    </w:p>
    <w:p w14:paraId="59E90559" w14:textId="77777777" w:rsidR="001051F5" w:rsidRPr="001051F5" w:rsidRDefault="001051F5" w:rsidP="001051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1051F5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proofErr w:type="spellStart"/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DTx</w:t>
      </w:r>
      <w:proofErr w:type="spellEnd"/>
      <w:proofErr w:type="gramEnd"/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deploys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 tailored micro-intervention →</w:t>
      </w:r>
    </w:p>
    <w:p w14:paraId="5B7F1C12" w14:textId="77777777" w:rsidR="001051F5" w:rsidRPr="001051F5" w:rsidRDefault="001051F5" w:rsidP="001051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1051F5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System</w:t>
      </w:r>
      <w:proofErr w:type="gramEnd"/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learns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from the outcome (ML feedback) →</w:t>
      </w:r>
    </w:p>
    <w:p w14:paraId="3664B83B" w14:textId="77777777" w:rsidR="001051F5" w:rsidRPr="001051F5" w:rsidRDefault="001051F5" w:rsidP="001051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proofErr w:type="gramStart"/>
      <w:r w:rsidRPr="001051F5">
        <w:rPr>
          <w:rFonts w:ascii="Times New Roman" w:eastAsia="Times New Roman" w:hAnsi="Symbol" w:cs="Times New Roman"/>
          <w:sz w:val="24"/>
          <w:szCs w:val="24"/>
          <w:lang w:eastAsia="en-ZA"/>
        </w:rPr>
        <w:t>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 </w:t>
      </w:r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User</w:t>
      </w:r>
      <w:proofErr w:type="gramEnd"/>
      <w:r w:rsidRPr="001051F5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gains</w:t>
      </w:r>
      <w:r w:rsidRPr="001051F5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adaptive self-regulation and insight into cognition/emotion/memory processes.</w:t>
      </w:r>
    </w:p>
    <w:p w14:paraId="5CB0063B" w14:textId="77777777" w:rsidR="001051F5" w:rsidRDefault="001051F5">
      <w:bookmarkStart w:id="0" w:name="_GoBack"/>
      <w:bookmarkEnd w:id="0"/>
    </w:p>
    <w:sectPr w:rsidR="001051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85B6A"/>
    <w:multiLevelType w:val="multilevel"/>
    <w:tmpl w:val="864A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96FE7"/>
    <w:multiLevelType w:val="multilevel"/>
    <w:tmpl w:val="6262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14B6F"/>
    <w:multiLevelType w:val="multilevel"/>
    <w:tmpl w:val="3DDA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93719"/>
    <w:multiLevelType w:val="multilevel"/>
    <w:tmpl w:val="0FD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C4772E"/>
    <w:multiLevelType w:val="multilevel"/>
    <w:tmpl w:val="D762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9069D"/>
    <w:multiLevelType w:val="multilevel"/>
    <w:tmpl w:val="B1D6E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919D0"/>
    <w:multiLevelType w:val="multilevel"/>
    <w:tmpl w:val="DAB2A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71DE4"/>
    <w:multiLevelType w:val="multilevel"/>
    <w:tmpl w:val="DF16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B33A8"/>
    <w:multiLevelType w:val="multilevel"/>
    <w:tmpl w:val="C032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64116F"/>
    <w:multiLevelType w:val="multilevel"/>
    <w:tmpl w:val="199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9"/>
  </w:num>
  <w:num w:numId="4">
    <w:abstractNumId w:val="3"/>
  </w:num>
  <w:num w:numId="5">
    <w:abstractNumId w:val="0"/>
  </w:num>
  <w:num w:numId="6">
    <w:abstractNumId w:val="8"/>
  </w:num>
  <w:num w:numId="7">
    <w:abstractNumId w:val="7"/>
  </w:num>
  <w:num w:numId="8">
    <w:abstractNumId w:val="5"/>
  </w:num>
  <w:num w:numId="9">
    <w:abstractNumId w:val="6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6B0"/>
    <w:rsid w:val="001051F5"/>
    <w:rsid w:val="001325C6"/>
    <w:rsid w:val="00366421"/>
    <w:rsid w:val="005063D9"/>
    <w:rsid w:val="00633205"/>
    <w:rsid w:val="007816B0"/>
    <w:rsid w:val="00C57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CA7C75"/>
  <w15:chartTrackingRefBased/>
  <w15:docId w15:val="{B319F615-E033-40C0-AAFF-A07FC37B8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325C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1325C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57A9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1325C6"/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1325C6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paragraph" w:styleId="NormalWeb">
    <w:name w:val="Normal (Web)"/>
    <w:basedOn w:val="Normal"/>
    <w:uiPriority w:val="99"/>
    <w:semiHidden/>
    <w:unhideWhenUsed/>
    <w:rsid w:val="00132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character" w:styleId="Emphasis">
    <w:name w:val="Emphasis"/>
    <w:basedOn w:val="DefaultParagraphFont"/>
    <w:uiPriority w:val="20"/>
    <w:qFormat/>
    <w:rsid w:val="001325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47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018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5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1312</Words>
  <Characters>7479</Characters>
  <Application>Microsoft Office Word</Application>
  <DocSecurity>0</DocSecurity>
  <Lines>62</Lines>
  <Paragraphs>17</Paragraphs>
  <ScaleCrop>false</ScaleCrop>
  <Company/>
  <LinksUpToDate>false</LinksUpToDate>
  <CharactersWithSpaces>8774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Mhedziso, Tinotenda, (Mr) (s227284240)</dc:creator>
  <cp:keywords/>
  <dc:description/>
  <cp:lastModifiedBy>Tinotenda Lincoln Mhedziso</cp:lastModifiedBy>
  <cp:revision>6</cp:revision>
  <dcterms:created xsi:type="dcterms:W3CDTF">2025-10-03T16:33:00Z</dcterms:created>
  <dcterms:modified xsi:type="dcterms:W3CDTF">2025-10-09T12:51:00Z</dcterms:modified>
</cp:coreProperties>
</file>