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BB543A" w14:textId="77777777" w:rsidR="001215FA" w:rsidRPr="001215FA" w:rsidRDefault="001215FA" w:rsidP="001215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215FA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1. Structural &amp; Technical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3"/>
        <w:gridCol w:w="7163"/>
      </w:tblGrid>
      <w:tr w:rsidR="001215FA" w:rsidRPr="001215FA" w14:paraId="7731DF43" w14:textId="77777777" w:rsidTr="001215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B0A7E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3DEE39F2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Strategy for Top Marks</w:t>
            </w:r>
          </w:p>
        </w:tc>
      </w:tr>
      <w:tr w:rsidR="001215FA" w:rsidRPr="001215FA" w14:paraId="7EAB5319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F1230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Title page</w:t>
            </w:r>
          </w:p>
        </w:tc>
        <w:tc>
          <w:tcPr>
            <w:tcW w:w="0" w:type="auto"/>
            <w:vAlign w:val="center"/>
            <w:hideMark/>
          </w:tcPr>
          <w:p w14:paraId="2779973A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 xml:space="preserve">Include full name, module code, date, affiliation, and a precise title like: </w:t>
            </w:r>
            <w:r w:rsidRPr="001215F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ZA"/>
              </w:rPr>
              <w:t>“Digital Phenotyping: Emerging Technologies for Holistic Mental Health, Cognition, and Education (2020–2025)”</w:t>
            </w: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.</w:t>
            </w:r>
          </w:p>
        </w:tc>
      </w:tr>
      <w:tr w:rsidR="001215FA" w:rsidRPr="001215FA" w14:paraId="665F7E20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FEDC8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Macro-structure</w:t>
            </w:r>
          </w:p>
        </w:tc>
        <w:tc>
          <w:tcPr>
            <w:tcW w:w="0" w:type="auto"/>
            <w:vAlign w:val="center"/>
            <w:hideMark/>
          </w:tcPr>
          <w:p w14:paraId="4B71C355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Include sections: Abstract, Introduction, Background/Definitions, Applications/Benefits, Risks/Harms, Ethics/Regulation/Equity, Problem Statement &amp; System Design, Discussion, Research Gaps, Conclusion, References. Ensure word counts roughly follow suggested 5,000-word plan.</w:t>
            </w:r>
          </w:p>
        </w:tc>
      </w:tr>
      <w:tr w:rsidR="001215FA" w:rsidRPr="001215FA" w14:paraId="44B2BC9A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68131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Presentation styles &amp; navigational aids</w:t>
            </w:r>
          </w:p>
        </w:tc>
        <w:tc>
          <w:tcPr>
            <w:tcW w:w="0" w:type="auto"/>
            <w:vAlign w:val="center"/>
            <w:hideMark/>
          </w:tcPr>
          <w:p w14:paraId="75472065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Use numbered headings/subheadings (1., 1.1, 1.2). Include Table of Contents and figure/table numbering.</w:t>
            </w:r>
          </w:p>
        </w:tc>
      </w:tr>
      <w:tr w:rsidR="001215FA" w:rsidRPr="001215FA" w14:paraId="0DE90AEF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A27CE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Appendix, figures, tables</w:t>
            </w:r>
          </w:p>
        </w:tc>
        <w:tc>
          <w:tcPr>
            <w:tcW w:w="0" w:type="auto"/>
            <w:vAlign w:val="center"/>
            <w:hideMark/>
          </w:tcPr>
          <w:p w14:paraId="72D5C4BA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Include diagrams: e.g., a flow diagram of the digital phenotyping system, table of sensor types, a comparison table (emerging tech vs conventional methods). Caption every figure/table clearly.</w:t>
            </w:r>
          </w:p>
        </w:tc>
      </w:tr>
    </w:tbl>
    <w:p w14:paraId="405533F0" w14:textId="77777777" w:rsidR="001215FA" w:rsidRPr="001215FA" w:rsidRDefault="0015108E" w:rsidP="001215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198EEC3E">
          <v:rect id="_x0000_i1025" style="width:0;height:1.5pt" o:hralign="center" o:hrstd="t" o:hr="t" fillcolor="#a0a0a0" stroked="f"/>
        </w:pict>
      </w:r>
    </w:p>
    <w:p w14:paraId="1FB6521C" w14:textId="77777777" w:rsidR="001215FA" w:rsidRPr="001215FA" w:rsidRDefault="001215FA" w:rsidP="001215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215FA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2. Flow of Text &amp; Referencing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7"/>
        <w:gridCol w:w="7449"/>
      </w:tblGrid>
      <w:tr w:rsidR="001215FA" w:rsidRPr="001215FA" w14:paraId="46BAABB8" w14:textId="77777777" w:rsidTr="001215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78C06F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237B2802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Strategy for Top Marks</w:t>
            </w:r>
          </w:p>
        </w:tc>
      </w:tr>
      <w:tr w:rsidR="001215FA" w:rsidRPr="001215FA" w14:paraId="406304BB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A8744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Flow</w:t>
            </w:r>
          </w:p>
        </w:tc>
        <w:tc>
          <w:tcPr>
            <w:tcW w:w="0" w:type="auto"/>
            <w:vAlign w:val="center"/>
            <w:hideMark/>
          </w:tcPr>
          <w:p w14:paraId="6603F1E0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Logical sequence: define tech → outline applications → discuss benefits → highlight risks → propose system → conclude with SDG implications. Each paragraph should link naturally to the next.</w:t>
            </w:r>
          </w:p>
        </w:tc>
      </w:tr>
      <w:tr w:rsidR="001215FA" w:rsidRPr="001215FA" w14:paraId="78955AF8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9490F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Internal referencing</w:t>
            </w:r>
          </w:p>
        </w:tc>
        <w:tc>
          <w:tcPr>
            <w:tcW w:w="0" w:type="auto"/>
            <w:vAlign w:val="center"/>
            <w:hideMark/>
          </w:tcPr>
          <w:p w14:paraId="2C349719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 xml:space="preserve">Refer to figures/tables in-text: </w:t>
            </w:r>
            <w:r w:rsidRPr="001215F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ZA"/>
              </w:rPr>
              <w:t>“As shown in Figure 2, sensor data is integrated into the prediction model…”</w:t>
            </w: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.</w:t>
            </w:r>
          </w:p>
        </w:tc>
      </w:tr>
      <w:tr w:rsidR="001215FA" w:rsidRPr="001215FA" w14:paraId="44EB6B8F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FC17A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External referencing</w:t>
            </w:r>
          </w:p>
        </w:tc>
        <w:tc>
          <w:tcPr>
            <w:tcW w:w="0" w:type="auto"/>
            <w:vAlign w:val="center"/>
            <w:hideMark/>
          </w:tcPr>
          <w:p w14:paraId="013E0FA9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Use recent (2020–2025) peer-reviewed sources. Combine psychiatry, neuroscience, AI, and education journals. Apply APA style consistently.</w:t>
            </w:r>
          </w:p>
        </w:tc>
      </w:tr>
    </w:tbl>
    <w:p w14:paraId="168A2A64" w14:textId="77777777" w:rsidR="001215FA" w:rsidRPr="001215FA" w:rsidRDefault="0015108E" w:rsidP="001215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1B09CA7C">
          <v:rect id="_x0000_i1026" style="width:0;height:1.5pt" o:hralign="center" o:hrstd="t" o:hr="t" fillcolor="#a0a0a0" stroked="f"/>
        </w:pict>
      </w:r>
    </w:p>
    <w:p w14:paraId="4D88EA4F" w14:textId="77777777" w:rsidR="001215FA" w:rsidRPr="001215FA" w:rsidRDefault="001215FA" w:rsidP="001215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215FA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3. Language, Tone &amp; Rhetoric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7171"/>
      </w:tblGrid>
      <w:tr w:rsidR="001215FA" w:rsidRPr="001215FA" w14:paraId="01BD905A" w14:textId="77777777" w:rsidTr="001215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91CA71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2C10208D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Strategy for Top Marks</w:t>
            </w:r>
          </w:p>
        </w:tc>
      </w:tr>
      <w:tr w:rsidR="001215FA" w:rsidRPr="001215FA" w14:paraId="36950CEC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778FA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Vocabulary &amp; terminology</w:t>
            </w:r>
          </w:p>
        </w:tc>
        <w:tc>
          <w:tcPr>
            <w:tcW w:w="0" w:type="auto"/>
            <w:vAlign w:val="center"/>
            <w:hideMark/>
          </w:tcPr>
          <w:p w14:paraId="16C8F614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 xml:space="preserve">Use precise terms: “cognitive offloading,” “passive sensing,” “predictive </w:t>
            </w:r>
            <w:proofErr w:type="spellStart"/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modeling</w:t>
            </w:r>
            <w:proofErr w:type="spellEnd"/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,” “adaptive learning,” “digital biomarkers,” “neuroplasticity.”</w:t>
            </w:r>
          </w:p>
        </w:tc>
      </w:tr>
      <w:tr w:rsidR="001215FA" w:rsidRPr="001215FA" w14:paraId="689104F8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D814B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Tone &amp; voice</w:t>
            </w:r>
          </w:p>
        </w:tc>
        <w:tc>
          <w:tcPr>
            <w:tcW w:w="0" w:type="auto"/>
            <w:vAlign w:val="center"/>
            <w:hideMark/>
          </w:tcPr>
          <w:p w14:paraId="79F5DFA0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Academic, formal but accessible. Avoid overly casual phrasing. Maintain third-person/objective tone where appropriate.</w:t>
            </w:r>
          </w:p>
        </w:tc>
      </w:tr>
      <w:tr w:rsidR="001215FA" w:rsidRPr="001215FA" w14:paraId="21D62CD1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88413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Authority &amp; credibility</w:t>
            </w:r>
          </w:p>
        </w:tc>
        <w:tc>
          <w:tcPr>
            <w:tcW w:w="0" w:type="auto"/>
            <w:vAlign w:val="center"/>
            <w:hideMark/>
          </w:tcPr>
          <w:p w14:paraId="106F888C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Cite peer-reviewed studies, clinical trials, and recognized policy documents (WHO, APA, OECD). Discuss controversies where relevant to show critical thinking.</w:t>
            </w:r>
          </w:p>
        </w:tc>
      </w:tr>
      <w:tr w:rsidR="001215FA" w:rsidRPr="001215FA" w14:paraId="0F1ED81D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20C1E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Appeal to reader</w:t>
            </w:r>
          </w:p>
        </w:tc>
        <w:tc>
          <w:tcPr>
            <w:tcW w:w="0" w:type="auto"/>
            <w:vAlign w:val="center"/>
            <w:hideMark/>
          </w:tcPr>
          <w:p w14:paraId="0817AB9A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 xml:space="preserve">Tie technology impact to lived experiences: </w:t>
            </w:r>
            <w:r w:rsidRPr="001215F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ZA"/>
              </w:rPr>
              <w:t>“Students at risk of cognitive overload could benefit from AI-assisted attention tracking”</w:t>
            </w: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. Emphasize societal relevance and SDGs.</w:t>
            </w:r>
          </w:p>
        </w:tc>
      </w:tr>
    </w:tbl>
    <w:p w14:paraId="2D55879C" w14:textId="77777777" w:rsidR="001215FA" w:rsidRPr="001215FA" w:rsidRDefault="0015108E" w:rsidP="001215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61A9C738">
          <v:rect id="_x0000_i1027" style="width:0;height:1.5pt" o:hralign="center" o:hrstd="t" o:hr="t" fillcolor="#a0a0a0" stroked="f"/>
        </w:pict>
      </w:r>
    </w:p>
    <w:p w14:paraId="4540328E" w14:textId="77777777" w:rsidR="001215FA" w:rsidRPr="001215FA" w:rsidRDefault="001215FA" w:rsidP="001215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215FA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lastRenderedPageBreak/>
        <w:t>4. Content &amp; Technical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3"/>
        <w:gridCol w:w="7233"/>
      </w:tblGrid>
      <w:tr w:rsidR="001215FA" w:rsidRPr="001215FA" w14:paraId="134AABDD" w14:textId="77777777" w:rsidTr="001215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E044FB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18C33165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Strategy for Top Marks</w:t>
            </w:r>
          </w:p>
        </w:tc>
      </w:tr>
      <w:tr w:rsidR="001215FA" w:rsidRPr="001215FA" w14:paraId="05215AF7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FEB4B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Summary</w:t>
            </w:r>
          </w:p>
        </w:tc>
        <w:tc>
          <w:tcPr>
            <w:tcW w:w="0" w:type="auto"/>
            <w:vAlign w:val="center"/>
            <w:hideMark/>
          </w:tcPr>
          <w:p w14:paraId="21E263F4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Abstract should concisely cover technology, problem, applications, benefits, risks, and SDG relevance (~200–250 words).</w:t>
            </w:r>
          </w:p>
        </w:tc>
      </w:tr>
      <w:tr w:rsidR="001215FA" w:rsidRPr="001215FA" w14:paraId="016DF984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B689B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Introduction</w:t>
            </w:r>
          </w:p>
        </w:tc>
        <w:tc>
          <w:tcPr>
            <w:tcW w:w="0" w:type="auto"/>
            <w:vAlign w:val="center"/>
            <w:hideMark/>
          </w:tcPr>
          <w:p w14:paraId="29D8E8F6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Introduce digital phenotyping, justify it as an emerging technology, explain its relevance to mental health (emotional + cognitive) and education. State your research question clearly.</w:t>
            </w:r>
          </w:p>
        </w:tc>
      </w:tr>
      <w:tr w:rsidR="001215FA" w:rsidRPr="001215FA" w14:paraId="26BBDBD7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9EFC0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Applications / Use Cases</w:t>
            </w:r>
          </w:p>
        </w:tc>
        <w:tc>
          <w:tcPr>
            <w:tcW w:w="0" w:type="auto"/>
            <w:vAlign w:val="center"/>
            <w:hideMark/>
          </w:tcPr>
          <w:p w14:paraId="5F3F9ECC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Provide multiple examples: relapse detection, monitoring cognitive decline, personalized learning analytics, public health surveillance. Include evidence of efficacy or pilot studies.</w:t>
            </w:r>
          </w:p>
        </w:tc>
      </w:tr>
      <w:tr w:rsidR="001215FA" w:rsidRPr="001215FA" w14:paraId="7680881C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D97E2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Antecedents &amp; Catalysts</w:t>
            </w:r>
          </w:p>
        </w:tc>
        <w:tc>
          <w:tcPr>
            <w:tcW w:w="0" w:type="auto"/>
            <w:vAlign w:val="center"/>
            <w:hideMark/>
          </w:tcPr>
          <w:p w14:paraId="28E8653C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Trace development from self-report measures → mobile apps → passive sensing → AI integration. Highlight technological enablers (wearables, ML, cloud computing).</w:t>
            </w:r>
          </w:p>
        </w:tc>
      </w:tr>
      <w:tr w:rsidR="001215FA" w:rsidRPr="001215FA" w14:paraId="3CB4ED3C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287CB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Growth Prospects</w:t>
            </w:r>
          </w:p>
        </w:tc>
        <w:tc>
          <w:tcPr>
            <w:tcW w:w="0" w:type="auto"/>
            <w:vAlign w:val="center"/>
            <w:hideMark/>
          </w:tcPr>
          <w:p w14:paraId="625046B1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Discuss increasing adoption in clinical/educational contexts, investment trends, regulatory approvals, integration with telehealth platforms.</w:t>
            </w:r>
          </w:p>
        </w:tc>
      </w:tr>
    </w:tbl>
    <w:p w14:paraId="03FDF715" w14:textId="77777777" w:rsidR="001215FA" w:rsidRPr="001215FA" w:rsidRDefault="0015108E" w:rsidP="001215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494C96D2">
          <v:rect id="_x0000_i1028" style="width:0;height:1.5pt" o:hralign="center" o:hrstd="t" o:hr="t" fillcolor="#a0a0a0" stroked="f"/>
        </w:pict>
      </w:r>
    </w:p>
    <w:p w14:paraId="40FCA3C4" w14:textId="77777777" w:rsidR="001215FA" w:rsidRPr="001215FA" w:rsidRDefault="001215FA" w:rsidP="001215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215FA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5. Ethical / Societal Implications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0"/>
        <w:gridCol w:w="7846"/>
      </w:tblGrid>
      <w:tr w:rsidR="001215FA" w:rsidRPr="001215FA" w14:paraId="765FB281" w14:textId="77777777" w:rsidTr="001215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236674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641E3838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Strategy for Top Marks</w:t>
            </w:r>
          </w:p>
        </w:tc>
      </w:tr>
      <w:tr w:rsidR="001215FA" w:rsidRPr="001215FA" w14:paraId="2ECB4F2A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FE9DC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Ethics</w:t>
            </w:r>
          </w:p>
        </w:tc>
        <w:tc>
          <w:tcPr>
            <w:tcW w:w="0" w:type="auto"/>
            <w:vAlign w:val="center"/>
            <w:hideMark/>
          </w:tcPr>
          <w:p w14:paraId="24CB8573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Highlight privacy, consent, data ownership, algorithmic bias, equity/access gaps. Compare to conventional approaches (e.g., episodic surveys).</w:t>
            </w:r>
          </w:p>
        </w:tc>
      </w:tr>
      <w:tr w:rsidR="001215FA" w:rsidRPr="001215FA" w14:paraId="1C3D9D39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8D58D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Societal impact</w:t>
            </w:r>
          </w:p>
        </w:tc>
        <w:tc>
          <w:tcPr>
            <w:tcW w:w="0" w:type="auto"/>
            <w:vAlign w:val="center"/>
            <w:hideMark/>
          </w:tcPr>
          <w:p w14:paraId="10154D27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Consider surveillance, trust, over-reliance, mental health stigma, potential educational inequalities. Propose mitigation strategies (policy frameworks, anonymization, transparency).</w:t>
            </w:r>
          </w:p>
        </w:tc>
      </w:tr>
    </w:tbl>
    <w:p w14:paraId="02C55533" w14:textId="77777777" w:rsidR="001215FA" w:rsidRPr="001215FA" w:rsidRDefault="0015108E" w:rsidP="001215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1A42CA36">
          <v:rect id="_x0000_i1029" style="width:0;height:1.5pt" o:hralign="center" o:hrstd="t" o:hr="t" fillcolor="#a0a0a0" stroked="f"/>
        </w:pict>
      </w:r>
    </w:p>
    <w:p w14:paraId="67622F8F" w14:textId="77777777" w:rsidR="001215FA" w:rsidRPr="001215FA" w:rsidRDefault="001215FA" w:rsidP="001215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215FA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6. Problem Statement &amp; System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7"/>
        <w:gridCol w:w="7519"/>
      </w:tblGrid>
      <w:tr w:rsidR="001215FA" w:rsidRPr="001215FA" w14:paraId="03571F5F" w14:textId="77777777" w:rsidTr="001215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C77D55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4C200470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Strategy for Top Marks</w:t>
            </w:r>
          </w:p>
        </w:tc>
      </w:tr>
      <w:tr w:rsidR="001215FA" w:rsidRPr="001215FA" w14:paraId="5AEC1C29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B3B74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Problem Statement</w:t>
            </w:r>
          </w:p>
        </w:tc>
        <w:tc>
          <w:tcPr>
            <w:tcW w:w="0" w:type="auto"/>
            <w:vAlign w:val="center"/>
            <w:hideMark/>
          </w:tcPr>
          <w:p w14:paraId="0704B6F9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 xml:space="preserve">Clearly define: </w:t>
            </w:r>
            <w:r w:rsidRPr="001215F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ZA"/>
              </w:rPr>
              <w:t>“Traditional mental health and cognitive assessments are episodic, subjective, and resource-intensive. Digital phenotyping can enable continuous, objective monitoring to detect early cognitive and emotional issues.”</w:t>
            </w:r>
          </w:p>
        </w:tc>
      </w:tr>
      <w:tr w:rsidR="001215FA" w:rsidRPr="001215FA" w14:paraId="45557DA8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14975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System Design</w:t>
            </w:r>
          </w:p>
        </w:tc>
        <w:tc>
          <w:tcPr>
            <w:tcW w:w="0" w:type="auto"/>
            <w:vAlign w:val="center"/>
            <w:hideMark/>
          </w:tcPr>
          <w:p w14:paraId="5F6BCAF2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 xml:space="preserve">Hypothetical system should have: </w:t>
            </w: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br/>
              <w:t xml:space="preserve">• </w:t>
            </w: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Components:</w:t>
            </w: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 xml:space="preserve"> sensors (smartphone, wearables), ML model, clinician dashboard, alert system, educational platform integration. </w:t>
            </w: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br/>
              <w:t xml:space="preserve">• </w:t>
            </w: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Data flow:</w:t>
            </w: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 xml:space="preserve"> sensor → </w:t>
            </w:r>
            <w:proofErr w:type="spellStart"/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preprocessing</w:t>
            </w:r>
            <w:proofErr w:type="spellEnd"/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 xml:space="preserve"> → feature extraction → model → prediction → output. </w:t>
            </w: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br/>
              <w:t xml:space="preserve">• </w:t>
            </w: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Purpose &amp; inputs/outputs:</w:t>
            </w: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 xml:space="preserve"> early detection, cognitive tracking, personalized interventions. </w:t>
            </w: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br/>
              <w:t>• Compare with conventional survey-based approach.</w:t>
            </w:r>
          </w:p>
        </w:tc>
      </w:tr>
      <w:tr w:rsidR="001215FA" w:rsidRPr="001215FA" w14:paraId="7861BCC4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26467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Systematic &amp; efficient</w:t>
            </w:r>
          </w:p>
        </w:tc>
        <w:tc>
          <w:tcPr>
            <w:tcW w:w="0" w:type="auto"/>
            <w:vAlign w:val="center"/>
            <w:hideMark/>
          </w:tcPr>
          <w:p w14:paraId="6B92C378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Use diagrams and flowcharts. Explain how each component communicates and contributes to solving the problem. Highlight efficiency improvements vs traditional approaches.</w:t>
            </w:r>
          </w:p>
        </w:tc>
      </w:tr>
    </w:tbl>
    <w:p w14:paraId="589393E0" w14:textId="77777777" w:rsidR="001215FA" w:rsidRPr="001215FA" w:rsidRDefault="0015108E" w:rsidP="001215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lastRenderedPageBreak/>
        <w:pict w14:anchorId="0F543DE1">
          <v:rect id="_x0000_i1030" style="width:0;height:1.5pt" o:hralign="center" o:hrstd="t" o:hr="t" fillcolor="#a0a0a0" stroked="f"/>
        </w:pict>
      </w:r>
    </w:p>
    <w:p w14:paraId="309CEF23" w14:textId="77777777" w:rsidR="001215FA" w:rsidRPr="001215FA" w:rsidRDefault="001215FA" w:rsidP="001215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215FA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7. Conclusion, Discussion &amp; Recommendations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0"/>
        <w:gridCol w:w="6946"/>
      </w:tblGrid>
      <w:tr w:rsidR="001215FA" w:rsidRPr="001215FA" w14:paraId="1DDE3CF2" w14:textId="77777777" w:rsidTr="001215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8EE7BC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785CDEDA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Strategy for Top Marks</w:t>
            </w:r>
          </w:p>
        </w:tc>
      </w:tr>
      <w:tr w:rsidR="001215FA" w:rsidRPr="001215FA" w14:paraId="5259CF2B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4CB2E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Discussion</w:t>
            </w:r>
          </w:p>
        </w:tc>
        <w:tc>
          <w:tcPr>
            <w:tcW w:w="0" w:type="auto"/>
            <w:vAlign w:val="center"/>
            <w:hideMark/>
          </w:tcPr>
          <w:p w14:paraId="0B83978E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Synthesize benefits and risks. Tie back to SDG 3 &amp; 4: e.g., improved well-being, educational outcomes. Discuss long-term implications for cognition, mental health, and societal equity.</w:t>
            </w:r>
          </w:p>
        </w:tc>
      </w:tr>
      <w:tr w:rsidR="001215FA" w:rsidRPr="001215FA" w14:paraId="20EE1743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D8162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Research Gaps &amp; Future Directions</w:t>
            </w:r>
          </w:p>
        </w:tc>
        <w:tc>
          <w:tcPr>
            <w:tcW w:w="0" w:type="auto"/>
            <w:vAlign w:val="center"/>
            <w:hideMark/>
          </w:tcPr>
          <w:p w14:paraId="3609617F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Highlight need for longitudinal studies, cross-cultural validation, regulatory frameworks, and ethical AI development.</w:t>
            </w:r>
          </w:p>
        </w:tc>
      </w:tr>
      <w:tr w:rsidR="001215FA" w:rsidRPr="001215FA" w14:paraId="6F60E198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F1BCF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Conclusion</w:t>
            </w:r>
          </w:p>
        </w:tc>
        <w:tc>
          <w:tcPr>
            <w:tcW w:w="0" w:type="auto"/>
            <w:vAlign w:val="center"/>
            <w:hideMark/>
          </w:tcPr>
          <w:p w14:paraId="1DDAD66D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Concisely summarize: digital phenotyping is a promising tool, with risks to manage, for enhancing mental health and education in alignment with SDGs.</w:t>
            </w:r>
          </w:p>
        </w:tc>
      </w:tr>
    </w:tbl>
    <w:p w14:paraId="72BB87CA" w14:textId="77777777" w:rsidR="001215FA" w:rsidRPr="001215FA" w:rsidRDefault="0015108E" w:rsidP="001215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2DD6A66C">
          <v:rect id="_x0000_i1031" style="width:0;height:1.5pt" o:hralign="center" o:hrstd="t" o:hr="t" fillcolor="#a0a0a0" stroked="f"/>
        </w:pict>
      </w:r>
    </w:p>
    <w:p w14:paraId="1F554F17" w14:textId="77777777" w:rsidR="001215FA" w:rsidRPr="001215FA" w:rsidRDefault="001215FA" w:rsidP="001215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215FA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8. Overall Evaluation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3"/>
        <w:gridCol w:w="6703"/>
      </w:tblGrid>
      <w:tr w:rsidR="001215FA" w:rsidRPr="001215FA" w14:paraId="39BF245E" w14:textId="77777777" w:rsidTr="001215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C7DED4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5CBC2AB4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Strategy for Top Marks</w:t>
            </w:r>
          </w:p>
        </w:tc>
      </w:tr>
      <w:tr w:rsidR="001215FA" w:rsidRPr="001215FA" w14:paraId="1D5706CA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2EFFB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Conciseness &amp; focus</w:t>
            </w:r>
          </w:p>
        </w:tc>
        <w:tc>
          <w:tcPr>
            <w:tcW w:w="0" w:type="auto"/>
            <w:vAlign w:val="center"/>
            <w:hideMark/>
          </w:tcPr>
          <w:p w14:paraId="411D551D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Stick tightly to the technology and its impact. Avoid unnecessary tangents.</w:t>
            </w:r>
          </w:p>
        </w:tc>
      </w:tr>
      <w:tr w:rsidR="001215FA" w:rsidRPr="001215FA" w14:paraId="3E0EFA69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C3146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Consistency &amp; coherence</w:t>
            </w:r>
          </w:p>
        </w:tc>
        <w:tc>
          <w:tcPr>
            <w:tcW w:w="0" w:type="auto"/>
            <w:vAlign w:val="center"/>
            <w:hideMark/>
          </w:tcPr>
          <w:p w14:paraId="1EEB259F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All sections should flow logically from problem → solution → system design → implications.</w:t>
            </w:r>
          </w:p>
        </w:tc>
      </w:tr>
      <w:tr w:rsidR="001215FA" w:rsidRPr="001215FA" w14:paraId="1453D2AD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96A14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Accuracy &amp; substantiation</w:t>
            </w:r>
          </w:p>
        </w:tc>
        <w:tc>
          <w:tcPr>
            <w:tcW w:w="0" w:type="auto"/>
            <w:vAlign w:val="center"/>
            <w:hideMark/>
          </w:tcPr>
          <w:p w14:paraId="01577C9A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Back every claim with recent, authoritative sources (2020–2025). Include real examples where possible.</w:t>
            </w:r>
          </w:p>
        </w:tc>
      </w:tr>
    </w:tbl>
    <w:p w14:paraId="2A50A3DD" w14:textId="717A7C95" w:rsidR="00B31E64" w:rsidRDefault="00B31E64"/>
    <w:p w14:paraId="030A4237" w14:textId="3B9AE29E" w:rsidR="0015108E" w:rsidRDefault="0015108E"/>
    <w:p w14:paraId="232314A5" w14:textId="77777777" w:rsidR="0015108E" w:rsidRPr="003F4DC0" w:rsidRDefault="0015108E" w:rsidP="0015108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 xml:space="preserve">Arnold, M., </w:t>
      </w:r>
      <w:proofErr w:type="spellStart"/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>Goldschmitt</w:t>
      </w:r>
      <w:proofErr w:type="spellEnd"/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 xml:space="preserve">, M., &amp; </w:t>
      </w:r>
      <w:proofErr w:type="spellStart"/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>Rigotti</w:t>
      </w:r>
      <w:proofErr w:type="spellEnd"/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>, T.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(2023).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Dealing with information overload: A comprehensive review.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Frontiers in Psychology, 14,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Article 1122200. </w:t>
      </w:r>
      <w:hyperlink r:id="rId4" w:tgtFrame="_new" w:history="1">
        <w:r w:rsidRPr="003F4DC0">
          <w:rPr>
            <w:rFonts w:eastAsia="Times New Roman" w:cstheme="minorHAnsi"/>
            <w:color w:val="0000FF"/>
            <w:sz w:val="24"/>
            <w:szCs w:val="24"/>
            <w:u w:val="single"/>
            <w:lang w:eastAsia="en-ZA"/>
          </w:rPr>
          <w:t>https://doi.org/10.3389/fpsyg.2023.1122200</w:t>
        </w:r>
      </w:hyperlink>
    </w:p>
    <w:p w14:paraId="13DBBD42" w14:textId="77777777" w:rsidR="0015108E" w:rsidRPr="003F4DC0" w:rsidRDefault="0015108E" w:rsidP="0015108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>De la Fabián, R., Jiménez-Molina, Á., &amp; Pizarro Obaid, F.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(2023).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A critical analysis of digital phenotyping and the neuro-digital complex in psychiatry.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Big Data &amp; Society.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</w:t>
      </w:r>
      <w:hyperlink r:id="rId5" w:tgtFrame="_new" w:history="1">
        <w:r w:rsidRPr="003F4DC0">
          <w:rPr>
            <w:rFonts w:eastAsia="Times New Roman" w:cstheme="minorHAnsi"/>
            <w:color w:val="0000FF"/>
            <w:sz w:val="24"/>
            <w:szCs w:val="24"/>
            <w:u w:val="single"/>
            <w:lang w:eastAsia="en-ZA"/>
          </w:rPr>
          <w:t>https://doi.org/10.1177/20539517221149097</w:t>
        </w:r>
      </w:hyperlink>
    </w:p>
    <w:p w14:paraId="6FF8531B" w14:textId="77777777" w:rsidR="0015108E" w:rsidRPr="003F4DC0" w:rsidRDefault="0015108E" w:rsidP="0015108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>Digital Therapeutics Alliance.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(2019, November).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Digital therapeutics: Definition and core principles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[Fact sheet]. </w:t>
      </w:r>
      <w:hyperlink r:id="rId6" w:tgtFrame="_new" w:history="1">
        <w:r w:rsidRPr="003F4DC0">
          <w:rPr>
            <w:rFonts w:eastAsia="Times New Roman" w:cstheme="minorHAnsi"/>
            <w:color w:val="0000FF"/>
            <w:sz w:val="24"/>
            <w:szCs w:val="24"/>
            <w:u w:val="single"/>
            <w:lang w:eastAsia="en-ZA"/>
          </w:rPr>
          <w:t>https://dtxalliance.org/wp-content/uploads/2021/01/DTA_DTx-Definition-and-Core-Principles.pdf</w:t>
        </w:r>
      </w:hyperlink>
    </w:p>
    <w:p w14:paraId="2499339D" w14:textId="77777777" w:rsidR="0015108E" w:rsidRPr="003F4DC0" w:rsidRDefault="0015108E" w:rsidP="0015108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 xml:space="preserve">Eppler, M. J., &amp; </w:t>
      </w:r>
      <w:proofErr w:type="spellStart"/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>Mengis</w:t>
      </w:r>
      <w:proofErr w:type="spellEnd"/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>, J.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(2004).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The concept of information overload: A review of the literature from organization science, accounting, marketing, MIS, and related disciplines.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The Information Society, 20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(5), 325–344. </w:t>
      </w:r>
      <w:hyperlink r:id="rId7" w:tgtFrame="_new" w:history="1">
        <w:r w:rsidRPr="003F4DC0">
          <w:rPr>
            <w:rFonts w:eastAsia="Times New Roman" w:cstheme="minorHAnsi"/>
            <w:color w:val="0000FF"/>
            <w:sz w:val="24"/>
            <w:szCs w:val="24"/>
            <w:u w:val="single"/>
            <w:lang w:eastAsia="en-ZA"/>
          </w:rPr>
          <w:t>https://doi.org/10.1080/01972240490507974</w:t>
        </w:r>
      </w:hyperlink>
    </w:p>
    <w:p w14:paraId="245DCACE" w14:textId="77777777" w:rsidR="0015108E" w:rsidRPr="003F4DC0" w:rsidRDefault="0015108E" w:rsidP="0015108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>McKinsey &amp; Company.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(2022).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The state of organizations 2022: Ten shifts transforming organizations.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</w:t>
      </w:r>
      <w:hyperlink r:id="rId8" w:tgtFrame="_new" w:history="1">
        <w:r w:rsidRPr="003F4DC0">
          <w:rPr>
            <w:rFonts w:eastAsia="Times New Roman" w:cstheme="minorHAnsi"/>
            <w:color w:val="0000FF"/>
            <w:sz w:val="24"/>
            <w:szCs w:val="24"/>
            <w:u w:val="single"/>
            <w:lang w:eastAsia="en-ZA"/>
          </w:rPr>
          <w:t>https://www.mckinsey.com</w:t>
        </w:r>
      </w:hyperlink>
    </w:p>
    <w:p w14:paraId="3D3A003A" w14:textId="77777777" w:rsidR="0015108E" w:rsidRPr="003F4DC0" w:rsidRDefault="0015108E" w:rsidP="0015108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lastRenderedPageBreak/>
        <w:t xml:space="preserve">Phan, P., </w:t>
      </w:r>
      <w:proofErr w:type="spellStart"/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>Mitragotri</w:t>
      </w:r>
      <w:proofErr w:type="spellEnd"/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>, S., &amp; Zhao, Z.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(2023).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Digital therapeutics in the clinic.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Bioengineering &amp; Translational Medicine, 8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(4), e10536. </w:t>
      </w:r>
      <w:hyperlink r:id="rId9" w:tgtFrame="_new" w:history="1">
        <w:r w:rsidRPr="003F4DC0">
          <w:rPr>
            <w:rFonts w:eastAsia="Times New Roman" w:cstheme="minorHAnsi"/>
            <w:color w:val="0000FF"/>
            <w:sz w:val="24"/>
            <w:szCs w:val="24"/>
            <w:u w:val="single"/>
            <w:lang w:eastAsia="en-ZA"/>
          </w:rPr>
          <w:t>https://doi.org/10.1002/btm2.10536</w:t>
        </w:r>
      </w:hyperlink>
    </w:p>
    <w:p w14:paraId="75277E2B" w14:textId="77777777" w:rsidR="0015108E" w:rsidRPr="003F4DC0" w:rsidRDefault="0015108E" w:rsidP="0015108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 xml:space="preserve">Rodríguez </w:t>
      </w:r>
      <w:proofErr w:type="spellStart"/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>Rodríguez</w:t>
      </w:r>
      <w:proofErr w:type="spellEnd"/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 xml:space="preserve">, L., Bustamante Orellana, C. E., </w:t>
      </w:r>
      <w:proofErr w:type="spellStart"/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>Chiou</w:t>
      </w:r>
      <w:proofErr w:type="spellEnd"/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>, E. K., Huang, L., Cooke, N., &amp; Kang, Y.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(2023).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A review of mathematical models of human trust in automation.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 xml:space="preserve">Frontiers in </w:t>
      </w:r>
      <w:proofErr w:type="spellStart"/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Neuroergonomics</w:t>
      </w:r>
      <w:proofErr w:type="spellEnd"/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</w:t>
      </w:r>
      <w:hyperlink r:id="rId10" w:tgtFrame="_new" w:history="1">
        <w:r w:rsidRPr="003F4DC0">
          <w:rPr>
            <w:rFonts w:eastAsia="Times New Roman" w:cstheme="minorHAnsi"/>
            <w:color w:val="0000FF"/>
            <w:sz w:val="24"/>
            <w:szCs w:val="24"/>
            <w:u w:val="single"/>
            <w:lang w:eastAsia="en-ZA"/>
          </w:rPr>
          <w:t>https://doi.org/10.3389/fnrgo.2023.1171403</w:t>
        </w:r>
      </w:hyperlink>
    </w:p>
    <w:p w14:paraId="0720344E" w14:textId="77777777" w:rsidR="0015108E" w:rsidRPr="003F4DC0" w:rsidRDefault="0015108E" w:rsidP="0015108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>Schwab, K.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(2016, January 14).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The Fourth Industrial Revolution: What it means and how to respond.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World Economic Forum.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</w:t>
      </w:r>
      <w:hyperlink r:id="rId11" w:tgtFrame="_new" w:history="1">
        <w:r w:rsidRPr="003F4DC0">
          <w:rPr>
            <w:rFonts w:eastAsia="Times New Roman" w:cstheme="minorHAnsi"/>
            <w:color w:val="0000FF"/>
            <w:sz w:val="24"/>
            <w:szCs w:val="24"/>
            <w:u w:val="single"/>
            <w:lang w:eastAsia="en-ZA"/>
          </w:rPr>
          <w:t>https://www.weforum.org/agenda/2016/01/the-fourth-industrial-revolution-what-it-means-and-how-to-respond/</w:t>
        </w:r>
      </w:hyperlink>
    </w:p>
    <w:p w14:paraId="79835166" w14:textId="77777777" w:rsidR="0015108E" w:rsidRPr="003F4DC0" w:rsidRDefault="0015108E" w:rsidP="0015108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proofErr w:type="spellStart"/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>Shanmugasundaram</w:t>
      </w:r>
      <w:proofErr w:type="spellEnd"/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 xml:space="preserve">, M., &amp; </w:t>
      </w:r>
      <w:proofErr w:type="spellStart"/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>Tamilarasu</w:t>
      </w:r>
      <w:proofErr w:type="spellEnd"/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>, A.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(2023).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The impact of digital technology, social media, and artificial intelligence on cognitive functions: A review.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Frontiers in Cognition, 2.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</w:t>
      </w:r>
      <w:hyperlink r:id="rId12" w:tgtFrame="_new" w:history="1">
        <w:r w:rsidRPr="003F4DC0">
          <w:rPr>
            <w:rFonts w:eastAsia="Times New Roman" w:cstheme="minorHAnsi"/>
            <w:color w:val="0000FF"/>
            <w:sz w:val="24"/>
            <w:szCs w:val="24"/>
            <w:u w:val="single"/>
            <w:lang w:eastAsia="en-ZA"/>
          </w:rPr>
          <w:t>https://doi.org/10.3389/fcogn.2023.1203077</w:t>
        </w:r>
      </w:hyperlink>
    </w:p>
    <w:p w14:paraId="3DD6B7AE" w14:textId="77777777" w:rsidR="0015108E" w:rsidRPr="003F4DC0" w:rsidRDefault="0015108E" w:rsidP="0015108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>Storm, B. C., Stone, S. M., &amp; Benjamin, A. S.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(2023).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Digital memory reliance and human recall persistence.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Memory &amp; Cognition.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https://doi.org/10.3758/s13421-023-01380-1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(if DOI missing, keep blank)</w:t>
      </w:r>
    </w:p>
    <w:p w14:paraId="71517157" w14:textId="77777777" w:rsidR="0015108E" w:rsidRPr="003F4DC0" w:rsidRDefault="0015108E" w:rsidP="0015108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>United Nations.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(2015).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Transforming our world: The 2030 Agenda for Sustainable Development.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United Nations.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</w:t>
      </w:r>
      <w:hyperlink r:id="rId13" w:tgtFrame="_new" w:history="1">
        <w:r w:rsidRPr="003F4DC0">
          <w:rPr>
            <w:rFonts w:eastAsia="Times New Roman" w:cstheme="minorHAnsi"/>
            <w:color w:val="0000FF"/>
            <w:sz w:val="24"/>
            <w:szCs w:val="24"/>
            <w:u w:val="single"/>
            <w:lang w:eastAsia="en-ZA"/>
          </w:rPr>
          <w:t>https://sdgs.un.org/2030agenda</w:t>
        </w:r>
      </w:hyperlink>
    </w:p>
    <w:p w14:paraId="5C75FC5B" w14:textId="77777777" w:rsidR="0015108E" w:rsidRPr="003F4DC0" w:rsidRDefault="0015108E" w:rsidP="0015108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>UNESCO.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(2022).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Global Education Monitoring Report 2022.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United Nations Educational, Scientific and Cultural Organization.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</w:t>
      </w:r>
      <w:hyperlink r:id="rId14" w:tgtFrame="_new" w:history="1">
        <w:r w:rsidRPr="003F4DC0">
          <w:rPr>
            <w:rFonts w:eastAsia="Times New Roman" w:cstheme="minorHAnsi"/>
            <w:color w:val="0000FF"/>
            <w:sz w:val="24"/>
            <w:szCs w:val="24"/>
            <w:u w:val="single"/>
            <w:lang w:eastAsia="en-ZA"/>
          </w:rPr>
          <w:t>https://www.unesco.org/reports/gem-report/2022</w:t>
        </w:r>
      </w:hyperlink>
    </w:p>
    <w:p w14:paraId="355F22AD" w14:textId="77777777" w:rsidR="0015108E" w:rsidRPr="003F4DC0" w:rsidRDefault="0015108E" w:rsidP="0015108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 xml:space="preserve">Ward, A. F., Duke, K., </w:t>
      </w:r>
      <w:proofErr w:type="spellStart"/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>Gneezy</w:t>
      </w:r>
      <w:proofErr w:type="spellEnd"/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>, A., &amp; Bos, M. W.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(2017).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Brain drain: The mere presence of one’s own smartphone reduces available cognitive capacity.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Journal of the Association for Consumer Research, 2</w:t>
      </w:r>
      <w:r w:rsidRPr="003F4DC0">
        <w:rPr>
          <w:rFonts w:eastAsia="Times New Roman" w:cstheme="minorHAnsi"/>
          <w:sz w:val="24"/>
          <w:szCs w:val="24"/>
          <w:lang w:eastAsia="en-ZA"/>
        </w:rPr>
        <w:t>(2), 140–154. https://doi.org/10.1086/691462</w:t>
      </w:r>
    </w:p>
    <w:p w14:paraId="1DC204BE" w14:textId="77777777" w:rsidR="0015108E" w:rsidRPr="003F4DC0" w:rsidRDefault="0015108E" w:rsidP="0015108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>World Health Organization.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(2023).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Global mental health report 2023: Transforming mental health for all.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</w:t>
      </w:r>
      <w:hyperlink r:id="rId15" w:tgtFrame="_new" w:history="1">
        <w:r w:rsidRPr="003F4DC0">
          <w:rPr>
            <w:rFonts w:eastAsia="Times New Roman" w:cstheme="minorHAnsi"/>
            <w:color w:val="0000FF"/>
            <w:sz w:val="24"/>
            <w:szCs w:val="24"/>
            <w:u w:val="single"/>
            <w:lang w:eastAsia="en-ZA"/>
          </w:rPr>
          <w:t>https://www.who.int/publications/i/item/9789240072895</w:t>
        </w:r>
      </w:hyperlink>
    </w:p>
    <w:p w14:paraId="373CA1D9" w14:textId="77777777" w:rsidR="0015108E" w:rsidRPr="003F4DC0" w:rsidRDefault="0015108E" w:rsidP="0015108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 xml:space="preserve">Zhang, Y., Wang, J., </w:t>
      </w:r>
      <w:proofErr w:type="spellStart"/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>Zong</w:t>
      </w:r>
      <w:proofErr w:type="spellEnd"/>
      <w:r w:rsidRPr="003F4DC0">
        <w:rPr>
          <w:rFonts w:eastAsia="Times New Roman" w:cstheme="minorHAnsi"/>
          <w:b/>
          <w:bCs/>
          <w:sz w:val="24"/>
          <w:szCs w:val="24"/>
          <w:lang w:eastAsia="en-ZA"/>
        </w:rPr>
        <w:t>, H., Singla, R. K., Ullah, A., Li, X., Wu, R., Ren, S., &amp; Shen, B.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(2025). </w:t>
      </w:r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The comprehensive clinical benefits of digital phenotyping: From broad adoption to full impact.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</w:t>
      </w:r>
      <w:proofErr w:type="spellStart"/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>npj</w:t>
      </w:r>
      <w:proofErr w:type="spellEnd"/>
      <w:r w:rsidRPr="003F4DC0">
        <w:rPr>
          <w:rFonts w:eastAsia="Times New Roman" w:cstheme="minorHAnsi"/>
          <w:i/>
          <w:iCs/>
          <w:sz w:val="24"/>
          <w:szCs w:val="24"/>
          <w:lang w:eastAsia="en-ZA"/>
        </w:rPr>
        <w:t xml:space="preserve"> Digital Medicine, 8,</w:t>
      </w:r>
      <w:r w:rsidRPr="003F4DC0">
        <w:rPr>
          <w:rFonts w:eastAsia="Times New Roman" w:cstheme="minorHAnsi"/>
          <w:sz w:val="24"/>
          <w:szCs w:val="24"/>
          <w:lang w:eastAsia="en-ZA"/>
        </w:rPr>
        <w:t xml:space="preserve"> Article 196. </w:t>
      </w:r>
      <w:hyperlink r:id="rId16" w:tgtFrame="_new" w:history="1">
        <w:r w:rsidRPr="003F4DC0">
          <w:rPr>
            <w:rFonts w:eastAsia="Times New Roman" w:cstheme="minorHAnsi"/>
            <w:color w:val="0000FF"/>
            <w:sz w:val="24"/>
            <w:szCs w:val="24"/>
            <w:u w:val="single"/>
            <w:lang w:eastAsia="en-ZA"/>
          </w:rPr>
          <w:t>https://doi.org/10.1038/s41746-025-01602-5</w:t>
        </w:r>
      </w:hyperlink>
    </w:p>
    <w:p w14:paraId="2C19DDD8" w14:textId="77777777" w:rsidR="0015108E" w:rsidRPr="00AA025B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AA025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Baddeley, A. (2012). </w:t>
      </w:r>
      <w:r w:rsidRPr="00AA025B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Working memory: Theories, models, and controversies</w:t>
      </w:r>
      <w:r w:rsidRPr="00AA025B">
        <w:rPr>
          <w:rFonts w:ascii="Times New Roman" w:eastAsia="Times New Roman" w:hAnsi="Times New Roman" w:cs="Times New Roman"/>
          <w:sz w:val="24"/>
          <w:szCs w:val="24"/>
          <w:lang w:eastAsia="en-ZA"/>
        </w:rPr>
        <w:t>. Annual Review of Psychology, 63, 1–29. https://doi.org/10.1146/annurev-psych-120710-100422</w:t>
      </w:r>
    </w:p>
    <w:p w14:paraId="77608367" w14:textId="77777777" w:rsidR="0015108E" w:rsidRPr="00AA025B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spellStart"/>
      <w:r w:rsidRPr="00AA025B">
        <w:rPr>
          <w:rFonts w:ascii="Times New Roman" w:eastAsia="Times New Roman" w:hAnsi="Times New Roman" w:cs="Times New Roman"/>
          <w:sz w:val="24"/>
          <w:szCs w:val="24"/>
          <w:lang w:eastAsia="en-ZA"/>
        </w:rPr>
        <w:t>Dudai</w:t>
      </w:r>
      <w:proofErr w:type="spellEnd"/>
      <w:r w:rsidRPr="00AA025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Y. (2021). The neurobiology of memory: From synapses to systems. </w:t>
      </w:r>
      <w:r w:rsidRPr="00AA025B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Annual Review of Neuroscience, 44</w:t>
      </w:r>
      <w:r w:rsidRPr="00AA025B">
        <w:rPr>
          <w:rFonts w:ascii="Times New Roman" w:eastAsia="Times New Roman" w:hAnsi="Times New Roman" w:cs="Times New Roman"/>
          <w:sz w:val="24"/>
          <w:szCs w:val="24"/>
          <w:lang w:eastAsia="en-ZA"/>
        </w:rPr>
        <w:t>, 1–22. https://doi.org/10.1146/annurev-neuro-100120-100218</w:t>
      </w:r>
    </w:p>
    <w:p w14:paraId="4C9E01C0" w14:textId="77777777" w:rsidR="0015108E" w:rsidRPr="00AA025B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AA025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Gazzaniga, M. S., </w:t>
      </w:r>
      <w:proofErr w:type="spellStart"/>
      <w:r w:rsidRPr="00AA025B">
        <w:rPr>
          <w:rFonts w:ascii="Times New Roman" w:eastAsia="Times New Roman" w:hAnsi="Times New Roman" w:cs="Times New Roman"/>
          <w:sz w:val="24"/>
          <w:szCs w:val="24"/>
          <w:lang w:eastAsia="en-ZA"/>
        </w:rPr>
        <w:t>Ivry</w:t>
      </w:r>
      <w:proofErr w:type="spellEnd"/>
      <w:r w:rsidRPr="00AA025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R., &amp; Mangun, G. R. (2018). </w:t>
      </w:r>
      <w:r w:rsidRPr="00AA025B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Cognitive neuroscience: The biology of the mind</w:t>
      </w:r>
      <w:r w:rsidRPr="00AA025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(5th ed.). W.W. Norton &amp; Company.</w:t>
      </w:r>
    </w:p>
    <w:p w14:paraId="64B5FBFD" w14:textId="77777777" w:rsidR="0015108E" w:rsidRPr="00AA025B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AA025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Kahneman, D. (2011). </w:t>
      </w:r>
      <w:r w:rsidRPr="00AA025B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Thinking, fast and slow</w:t>
      </w:r>
      <w:r w:rsidRPr="00AA025B">
        <w:rPr>
          <w:rFonts w:ascii="Times New Roman" w:eastAsia="Times New Roman" w:hAnsi="Times New Roman" w:cs="Times New Roman"/>
          <w:sz w:val="24"/>
          <w:szCs w:val="24"/>
          <w:lang w:eastAsia="en-ZA"/>
        </w:rPr>
        <w:t>. Farrar, Straus and Giroux.</w:t>
      </w:r>
    </w:p>
    <w:p w14:paraId="3490FF90" w14:textId="77777777" w:rsidR="0015108E" w:rsidRPr="00AA025B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AA025B">
        <w:rPr>
          <w:rFonts w:ascii="Times New Roman" w:eastAsia="Times New Roman" w:hAnsi="Times New Roman" w:cs="Times New Roman"/>
          <w:sz w:val="24"/>
          <w:szCs w:val="24"/>
          <w:lang w:eastAsia="en-ZA"/>
        </w:rPr>
        <w:lastRenderedPageBreak/>
        <w:t xml:space="preserve">LeDoux, J. E. (2019). </w:t>
      </w:r>
      <w:r w:rsidRPr="00AA025B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The deep history of ourselves: The four-billion-year story of how we got conscious brains</w:t>
      </w:r>
      <w:r w:rsidRPr="00AA025B">
        <w:rPr>
          <w:rFonts w:ascii="Times New Roman" w:eastAsia="Times New Roman" w:hAnsi="Times New Roman" w:cs="Times New Roman"/>
          <w:sz w:val="24"/>
          <w:szCs w:val="24"/>
          <w:lang w:eastAsia="en-ZA"/>
        </w:rPr>
        <w:t>. Viking.</w:t>
      </w:r>
    </w:p>
    <w:p w14:paraId="39A90B4F" w14:textId="77777777" w:rsidR="0015108E" w:rsidRPr="00AA025B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AA025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Lindquist, K. A., Wager, T. D., </w:t>
      </w:r>
      <w:proofErr w:type="spellStart"/>
      <w:r w:rsidRPr="00AA025B">
        <w:rPr>
          <w:rFonts w:ascii="Times New Roman" w:eastAsia="Times New Roman" w:hAnsi="Times New Roman" w:cs="Times New Roman"/>
          <w:sz w:val="24"/>
          <w:szCs w:val="24"/>
          <w:lang w:eastAsia="en-ZA"/>
        </w:rPr>
        <w:t>Kober</w:t>
      </w:r>
      <w:proofErr w:type="spellEnd"/>
      <w:r w:rsidRPr="00AA025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H., Bliss-Moreau, E., &amp; Barrett, L. F. (2012). The brain basis of emotion: A meta-analytic review. </w:t>
      </w:r>
      <w:proofErr w:type="spellStart"/>
      <w:r w:rsidRPr="00AA025B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Behavioral</w:t>
      </w:r>
      <w:proofErr w:type="spellEnd"/>
      <w:r w:rsidRPr="00AA025B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 xml:space="preserve"> and Brain Sciences, 35</w:t>
      </w:r>
      <w:r w:rsidRPr="00AA025B">
        <w:rPr>
          <w:rFonts w:ascii="Times New Roman" w:eastAsia="Times New Roman" w:hAnsi="Times New Roman" w:cs="Times New Roman"/>
          <w:sz w:val="24"/>
          <w:szCs w:val="24"/>
          <w:lang w:eastAsia="en-ZA"/>
        </w:rPr>
        <w:t>(3), 121–143. https://doi.org/10.1017/S0140525X11000446</w:t>
      </w:r>
    </w:p>
    <w:p w14:paraId="2523A0EE" w14:textId="77777777" w:rsidR="0015108E" w:rsidRPr="00AA025B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spellStart"/>
      <w:r w:rsidRPr="00AA025B">
        <w:rPr>
          <w:rFonts w:ascii="Times New Roman" w:eastAsia="Times New Roman" w:hAnsi="Times New Roman" w:cs="Times New Roman"/>
          <w:sz w:val="24"/>
          <w:szCs w:val="24"/>
          <w:lang w:eastAsia="en-ZA"/>
        </w:rPr>
        <w:t>McGaugh</w:t>
      </w:r>
      <w:proofErr w:type="spellEnd"/>
      <w:r w:rsidRPr="00AA025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J. L. (2022). Emotional arousal and lasting declarative memory: A critical review. </w:t>
      </w:r>
      <w:r w:rsidRPr="00AA025B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Neuron, 107</w:t>
      </w:r>
      <w:r w:rsidRPr="00AA025B">
        <w:rPr>
          <w:rFonts w:ascii="Times New Roman" w:eastAsia="Times New Roman" w:hAnsi="Times New Roman" w:cs="Times New Roman"/>
          <w:sz w:val="24"/>
          <w:szCs w:val="24"/>
          <w:lang w:eastAsia="en-ZA"/>
        </w:rPr>
        <w:t>(1), 1–18. https://doi.org/10.1016/j.neuron.2022.01.007</w:t>
      </w:r>
    </w:p>
    <w:p w14:paraId="62E18C05" w14:textId="77777777" w:rsidR="0015108E" w:rsidRPr="00AA025B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AA025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Pessoa, L. (2017). </w:t>
      </w:r>
      <w:r w:rsidRPr="00AA025B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A network model of the emotional brain</w:t>
      </w:r>
      <w:r w:rsidRPr="00AA025B">
        <w:rPr>
          <w:rFonts w:ascii="Times New Roman" w:eastAsia="Times New Roman" w:hAnsi="Times New Roman" w:cs="Times New Roman"/>
          <w:sz w:val="24"/>
          <w:szCs w:val="24"/>
          <w:lang w:eastAsia="en-ZA"/>
        </w:rPr>
        <w:t>. Trends in Cognitive Sciences, 21(5), 357–371. https://doi.org/10.1016/j.tics.2017.03.002</w:t>
      </w:r>
    </w:p>
    <w:p w14:paraId="01C5998D" w14:textId="77777777" w:rsidR="0015108E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AA025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Squire, L. R., &amp; Kandel, E. R. (2021). </w:t>
      </w:r>
      <w:r w:rsidRPr="00AA025B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Memory: From mind to molecules</w:t>
      </w:r>
      <w:r w:rsidRPr="00AA025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(4th ed.). Roberts and Company Publishers.</w:t>
      </w:r>
    </w:p>
    <w:p w14:paraId="14A061C2" w14:textId="77777777" w:rsidR="0015108E" w:rsidRPr="001F4989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spellStart"/>
      <w:r w:rsidRPr="001F4989">
        <w:rPr>
          <w:rFonts w:ascii="Times New Roman" w:eastAsia="Times New Roman" w:hAnsi="Times New Roman" w:cs="Times New Roman"/>
          <w:sz w:val="24"/>
          <w:szCs w:val="24"/>
          <w:lang w:eastAsia="en-ZA"/>
        </w:rPr>
        <w:t>Onnela</w:t>
      </w:r>
      <w:proofErr w:type="spellEnd"/>
      <w:r w:rsidRPr="001F4989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J. P., &amp; Rauch, S. L. (2016). Harnessing smartphone-based digital phenotyping to enhance </w:t>
      </w:r>
      <w:proofErr w:type="spellStart"/>
      <w:r w:rsidRPr="001F4989">
        <w:rPr>
          <w:rFonts w:ascii="Times New Roman" w:eastAsia="Times New Roman" w:hAnsi="Times New Roman" w:cs="Times New Roman"/>
          <w:sz w:val="24"/>
          <w:szCs w:val="24"/>
          <w:lang w:eastAsia="en-ZA"/>
        </w:rPr>
        <w:t>behavioral</w:t>
      </w:r>
      <w:proofErr w:type="spellEnd"/>
      <w:r w:rsidRPr="001F4989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and mental health. Neuropsychopharmacology, 41(7), 1691–1696. https://doi.org/10.1038/npp.2016.7</w:t>
      </w:r>
    </w:p>
    <w:p w14:paraId="67D31768" w14:textId="77777777" w:rsidR="0015108E" w:rsidRPr="001F4989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</w:p>
    <w:p w14:paraId="2835F003" w14:textId="77777777" w:rsidR="0015108E" w:rsidRPr="001F4989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F4989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Jilka, S., &amp; </w:t>
      </w:r>
      <w:proofErr w:type="spellStart"/>
      <w:r w:rsidRPr="001F4989">
        <w:rPr>
          <w:rFonts w:ascii="Times New Roman" w:eastAsia="Times New Roman" w:hAnsi="Times New Roman" w:cs="Times New Roman"/>
          <w:sz w:val="24"/>
          <w:szCs w:val="24"/>
          <w:lang w:eastAsia="en-ZA"/>
        </w:rPr>
        <w:t>Giacco</w:t>
      </w:r>
      <w:proofErr w:type="spellEnd"/>
      <w:r w:rsidRPr="001F4989">
        <w:rPr>
          <w:rFonts w:ascii="Times New Roman" w:eastAsia="Times New Roman" w:hAnsi="Times New Roman" w:cs="Times New Roman"/>
          <w:sz w:val="24"/>
          <w:szCs w:val="24"/>
          <w:lang w:eastAsia="en-ZA"/>
        </w:rPr>
        <w:t>, D. (2024). Digital phenotyping: How it could change mental health care and why we should all keep up. Journal of Mental Health, 33(4), 439–442. https://doi.org/10.1080/09638237.2024.2395537</w:t>
      </w:r>
    </w:p>
    <w:p w14:paraId="384566E7" w14:textId="77777777" w:rsidR="0015108E" w:rsidRPr="001F4989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</w:p>
    <w:p w14:paraId="59896E27" w14:textId="77777777" w:rsidR="0015108E" w:rsidRPr="001F4989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F4989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dos Santos, M. P., et al. (2024). Machine learning applied to digital phenotyping. Computers in Human </w:t>
      </w:r>
      <w:proofErr w:type="spellStart"/>
      <w:r w:rsidRPr="001F4989">
        <w:rPr>
          <w:rFonts w:ascii="Times New Roman" w:eastAsia="Times New Roman" w:hAnsi="Times New Roman" w:cs="Times New Roman"/>
          <w:sz w:val="24"/>
          <w:szCs w:val="24"/>
          <w:lang w:eastAsia="en-ZA"/>
        </w:rPr>
        <w:t>Behavior</w:t>
      </w:r>
      <w:proofErr w:type="spellEnd"/>
      <w:r w:rsidRPr="001F4989">
        <w:rPr>
          <w:rFonts w:ascii="Times New Roman" w:eastAsia="Times New Roman" w:hAnsi="Times New Roman" w:cs="Times New Roman"/>
          <w:sz w:val="24"/>
          <w:szCs w:val="24"/>
          <w:lang w:eastAsia="en-ZA"/>
        </w:rPr>
        <w:t>, 108, 106422. https://doi.org/10.1016/j.chb.2024.108422</w:t>
      </w:r>
    </w:p>
    <w:p w14:paraId="0853BDE4" w14:textId="77777777" w:rsidR="0015108E" w:rsidRPr="001F4989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</w:p>
    <w:p w14:paraId="0FA880A3" w14:textId="77777777" w:rsidR="0015108E" w:rsidRPr="001F4989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F4989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Martínez-Martín, N., et al. (2021). Ethical development of digital phenotyping tools for mental health applications: A Delphi study. </w:t>
      </w:r>
      <w:proofErr w:type="spellStart"/>
      <w:r w:rsidRPr="001F4989">
        <w:rPr>
          <w:rFonts w:ascii="Times New Roman" w:eastAsia="Times New Roman" w:hAnsi="Times New Roman" w:cs="Times New Roman"/>
          <w:sz w:val="24"/>
          <w:szCs w:val="24"/>
          <w:lang w:eastAsia="en-ZA"/>
        </w:rPr>
        <w:t>JMIR</w:t>
      </w:r>
      <w:proofErr w:type="spellEnd"/>
      <w:r w:rsidRPr="001F4989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mHealth and </w:t>
      </w:r>
      <w:proofErr w:type="spellStart"/>
      <w:r w:rsidRPr="001F4989">
        <w:rPr>
          <w:rFonts w:ascii="Times New Roman" w:eastAsia="Times New Roman" w:hAnsi="Times New Roman" w:cs="Times New Roman"/>
          <w:sz w:val="24"/>
          <w:szCs w:val="24"/>
          <w:lang w:eastAsia="en-ZA"/>
        </w:rPr>
        <w:t>uHealth</w:t>
      </w:r>
      <w:proofErr w:type="spellEnd"/>
      <w:r w:rsidRPr="001F4989">
        <w:rPr>
          <w:rFonts w:ascii="Times New Roman" w:eastAsia="Times New Roman" w:hAnsi="Times New Roman" w:cs="Times New Roman"/>
          <w:sz w:val="24"/>
          <w:szCs w:val="24"/>
          <w:lang w:eastAsia="en-ZA"/>
        </w:rPr>
        <w:t>, 9(7), e27343. https://doi.org/10.2196/27343</w:t>
      </w:r>
    </w:p>
    <w:p w14:paraId="4E5BB884" w14:textId="77777777" w:rsidR="0015108E" w:rsidRPr="001F4989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</w:p>
    <w:p w14:paraId="2FC28ED9" w14:textId="77777777" w:rsidR="0015108E" w:rsidRPr="00AA025B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spellStart"/>
      <w:r w:rsidRPr="001F4989">
        <w:rPr>
          <w:rFonts w:ascii="Times New Roman" w:eastAsia="Times New Roman" w:hAnsi="Times New Roman" w:cs="Times New Roman"/>
          <w:sz w:val="24"/>
          <w:szCs w:val="24"/>
          <w:lang w:eastAsia="en-ZA"/>
        </w:rPr>
        <w:t>Alam</w:t>
      </w:r>
      <w:proofErr w:type="spellEnd"/>
      <w:r w:rsidRPr="001F4989">
        <w:rPr>
          <w:rFonts w:ascii="Times New Roman" w:eastAsia="Times New Roman" w:hAnsi="Times New Roman" w:cs="Times New Roman"/>
          <w:sz w:val="24"/>
          <w:szCs w:val="24"/>
          <w:lang w:eastAsia="en-ZA"/>
        </w:rPr>
        <w:t>, N. B., et al. (2025). Challenges and standardisation strategies for sensor-based data collection for digital phenotyping. Communications Medicine, 5, 360. https://doi.org/10.1038/s43856-025-01013-3</w:t>
      </w:r>
    </w:p>
    <w:p w14:paraId="55EEEE14" w14:textId="77777777" w:rsidR="0015108E" w:rsidRPr="00EA797B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spellStart"/>
      <w:r w:rsidRPr="00EA797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Akili</w:t>
      </w:r>
      <w:proofErr w:type="spellEnd"/>
      <w:r w:rsidRPr="00EA797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 xml:space="preserve"> Interactive.</w:t>
      </w:r>
      <w:r w:rsidRPr="00EA797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(2020). </w:t>
      </w:r>
      <w:r w:rsidRPr="00EA797B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FDA authorizes first prescription video game for children with ADHD.</w:t>
      </w:r>
      <w:r w:rsidRPr="00EA797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U.S. Food and Drug Administration. https://www.fda.gov/news-events/press-announcements/fda-authorizes-first-prescription-video-game-children-adhd</w:t>
      </w:r>
    </w:p>
    <w:p w14:paraId="4A304789" w14:textId="77777777" w:rsidR="0015108E" w:rsidRPr="00EA797B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EA797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Digital Therapeutics Alliance.</w:t>
      </w:r>
      <w:r w:rsidRPr="00EA797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(2023). </w:t>
      </w:r>
      <w:r w:rsidRPr="00EA797B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Digital therapeutics: Delivering clinical outcomes through software-driven interventions.</w:t>
      </w:r>
      <w:r w:rsidRPr="00EA797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Digital Therapeutics Alliance. https://dtxalliance.org/</w:t>
      </w:r>
    </w:p>
    <w:p w14:paraId="39353D8B" w14:textId="77777777" w:rsidR="0015108E" w:rsidRPr="00EA797B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spellStart"/>
      <w:r w:rsidRPr="00EA797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lastRenderedPageBreak/>
        <w:t>Gerke</w:t>
      </w:r>
      <w:proofErr w:type="spellEnd"/>
      <w:r w:rsidRPr="00EA797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 xml:space="preserve">, S., </w:t>
      </w:r>
      <w:proofErr w:type="spellStart"/>
      <w:r w:rsidRPr="00EA797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Minssen</w:t>
      </w:r>
      <w:proofErr w:type="spellEnd"/>
      <w:r w:rsidRPr="00EA797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, T., &amp; Cohen, G. I.</w:t>
      </w:r>
      <w:r w:rsidRPr="00EA797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(2022). Ethical and legal challenges of digital therapeutics. </w:t>
      </w:r>
      <w:proofErr w:type="spellStart"/>
      <w:r w:rsidRPr="00EA797B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npj</w:t>
      </w:r>
      <w:proofErr w:type="spellEnd"/>
      <w:r w:rsidRPr="00EA797B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 xml:space="preserve"> Digital Medicine, 5</w:t>
      </w:r>
      <w:r w:rsidRPr="00EA797B">
        <w:rPr>
          <w:rFonts w:ascii="Times New Roman" w:eastAsia="Times New Roman" w:hAnsi="Times New Roman" w:cs="Times New Roman"/>
          <w:sz w:val="24"/>
          <w:szCs w:val="24"/>
          <w:lang w:eastAsia="en-ZA"/>
        </w:rPr>
        <w:t>(1), 42. https://doi.org/10.1038/s41746-022-00574-5</w:t>
      </w:r>
    </w:p>
    <w:p w14:paraId="4A86D11E" w14:textId="77777777" w:rsidR="0015108E" w:rsidRPr="00EA797B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spellStart"/>
      <w:r w:rsidRPr="00EA797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Torous</w:t>
      </w:r>
      <w:proofErr w:type="spellEnd"/>
      <w:r w:rsidRPr="00EA797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, J., Lipschitz, J., Ng, M., &amp; Firth, J.</w:t>
      </w:r>
      <w:r w:rsidRPr="00EA797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(2021). The evidence and opportunities for digital mental health interventions. </w:t>
      </w:r>
      <w:r w:rsidRPr="00EA797B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World Psychiatry, 20</w:t>
      </w:r>
      <w:r w:rsidRPr="00EA797B">
        <w:rPr>
          <w:rFonts w:ascii="Times New Roman" w:eastAsia="Times New Roman" w:hAnsi="Times New Roman" w:cs="Times New Roman"/>
          <w:sz w:val="24"/>
          <w:szCs w:val="24"/>
          <w:lang w:eastAsia="en-ZA"/>
        </w:rPr>
        <w:t>(3), 318–332. https://doi.org/10.1002/wps.20829</w:t>
      </w:r>
    </w:p>
    <w:p w14:paraId="31113AA6" w14:textId="77777777" w:rsidR="0015108E" w:rsidRPr="00EA797B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spellStart"/>
      <w:r w:rsidRPr="00EA797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Torous</w:t>
      </w:r>
      <w:proofErr w:type="spellEnd"/>
      <w:r w:rsidRPr="00EA797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, J., &amp; Roberts, L. W.</w:t>
      </w:r>
      <w:r w:rsidRPr="00EA797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(2023). Ethical dimensions of digital mental health: Challenges and next steps. </w:t>
      </w:r>
      <w:r w:rsidRPr="00EA797B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World Psychiatry, 22</w:t>
      </w:r>
      <w:r w:rsidRPr="00EA797B">
        <w:rPr>
          <w:rFonts w:ascii="Times New Roman" w:eastAsia="Times New Roman" w:hAnsi="Times New Roman" w:cs="Times New Roman"/>
          <w:sz w:val="24"/>
          <w:szCs w:val="24"/>
          <w:lang w:eastAsia="en-ZA"/>
        </w:rPr>
        <w:t>(1), 30–43. https://doi.org/10.1002/wps.21059</w:t>
      </w:r>
    </w:p>
    <w:p w14:paraId="7D03C878" w14:textId="77777777" w:rsidR="0015108E" w:rsidRPr="00EA797B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EA797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Wang, C., Lin, J., &amp; Meyer, D.</w:t>
      </w:r>
      <w:r w:rsidRPr="00EA797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(2023). Data-driven personalization in digital therapeutics: Integrating phenotypic data for adaptive interventions. </w:t>
      </w:r>
      <w:r w:rsidRPr="00EA797B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Frontiers in Digital Health, 5</w:t>
      </w:r>
      <w:r w:rsidRPr="00EA797B">
        <w:rPr>
          <w:rFonts w:ascii="Times New Roman" w:eastAsia="Times New Roman" w:hAnsi="Times New Roman" w:cs="Times New Roman"/>
          <w:sz w:val="24"/>
          <w:szCs w:val="24"/>
          <w:lang w:eastAsia="en-ZA"/>
        </w:rPr>
        <w:t>(1), 101–118. https://doi.org/10.3389/fdgth.2023.101118</w:t>
      </w:r>
    </w:p>
    <w:p w14:paraId="152E9F74" w14:textId="77777777" w:rsidR="0015108E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EA797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U.S. Food and Drug Administration.</w:t>
      </w:r>
      <w:r w:rsidRPr="00EA797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(2022). </w:t>
      </w:r>
      <w:r w:rsidRPr="00EA797B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Digital health technologies and medical devices: Regulatory guidance.</w:t>
      </w:r>
      <w:r w:rsidRPr="00EA797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</w:t>
      </w:r>
      <w:hyperlink r:id="rId17" w:history="1">
        <w:r w:rsidRPr="003C1595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ZA"/>
          </w:rPr>
          <w:t>https://www.fda.gov/medical-devices/digital-health-center-excellence</w:t>
        </w:r>
      </w:hyperlink>
    </w:p>
    <w:p w14:paraId="38A7E25C" w14:textId="77777777" w:rsidR="0015108E" w:rsidRPr="002A20E4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 w:rsidRPr="002A20E4">
        <w:rPr>
          <w:rFonts w:ascii="Times New Roman" w:eastAsia="Times New Roman" w:hAnsi="Symbol" w:cs="Times New Roman"/>
          <w:sz w:val="24"/>
          <w:szCs w:val="24"/>
          <w:lang w:eastAsia="en-ZA"/>
        </w:rPr>
        <w:t></w:t>
      </w:r>
      <w:r w:rsidRPr="002A20E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 </w:t>
      </w:r>
      <w:proofErr w:type="spellStart"/>
      <w:r w:rsidRPr="002A20E4">
        <w:rPr>
          <w:rFonts w:ascii="Times New Roman" w:eastAsia="Times New Roman" w:hAnsi="Times New Roman" w:cs="Times New Roman"/>
          <w:sz w:val="24"/>
          <w:szCs w:val="24"/>
          <w:lang w:eastAsia="en-ZA"/>
        </w:rPr>
        <w:t>Arns</w:t>
      </w:r>
      <w:proofErr w:type="spellEnd"/>
      <w:proofErr w:type="gramEnd"/>
      <w:r w:rsidRPr="002A20E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M., Heinrich, H., &amp; </w:t>
      </w:r>
      <w:proofErr w:type="spellStart"/>
      <w:r w:rsidRPr="002A20E4">
        <w:rPr>
          <w:rFonts w:ascii="Times New Roman" w:eastAsia="Times New Roman" w:hAnsi="Times New Roman" w:cs="Times New Roman"/>
          <w:sz w:val="24"/>
          <w:szCs w:val="24"/>
          <w:lang w:eastAsia="en-ZA"/>
        </w:rPr>
        <w:t>Strehl</w:t>
      </w:r>
      <w:proofErr w:type="spellEnd"/>
      <w:r w:rsidRPr="002A20E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U. (2020). </w:t>
      </w:r>
      <w:r w:rsidRPr="002A20E4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Evaluation of neurofeedback in ADHD: The long and winding road.</w:t>
      </w:r>
      <w:r w:rsidRPr="002A20E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Biological Psychology, 157, 107868. https://doi.org/10.1016/j.biopsycho.2020.107868</w:t>
      </w:r>
    </w:p>
    <w:p w14:paraId="1BA3A643" w14:textId="77777777" w:rsidR="0015108E" w:rsidRPr="002A20E4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 w:rsidRPr="002A20E4">
        <w:rPr>
          <w:rFonts w:ascii="Times New Roman" w:eastAsia="Times New Roman" w:hAnsi="Symbol" w:cs="Times New Roman"/>
          <w:sz w:val="24"/>
          <w:szCs w:val="24"/>
          <w:lang w:eastAsia="en-ZA"/>
        </w:rPr>
        <w:t></w:t>
      </w:r>
      <w:r w:rsidRPr="002A20E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 He</w:t>
      </w:r>
      <w:proofErr w:type="gramEnd"/>
      <w:r w:rsidRPr="002A20E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B., Gao, S., Yuan, H., &amp; </w:t>
      </w:r>
      <w:proofErr w:type="spellStart"/>
      <w:r w:rsidRPr="002A20E4">
        <w:rPr>
          <w:rFonts w:ascii="Times New Roman" w:eastAsia="Times New Roman" w:hAnsi="Times New Roman" w:cs="Times New Roman"/>
          <w:sz w:val="24"/>
          <w:szCs w:val="24"/>
          <w:lang w:eastAsia="en-ZA"/>
        </w:rPr>
        <w:t>Wolpaw</w:t>
      </w:r>
      <w:proofErr w:type="spellEnd"/>
      <w:r w:rsidRPr="002A20E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J. R. (2020). </w:t>
      </w:r>
      <w:r w:rsidRPr="002A20E4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Brain–computer interfaces.</w:t>
      </w:r>
      <w:r w:rsidRPr="002A20E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Nature Reviews Bioengineering, 1(1), 1–18. https://doi.org/10.1038/s44222-020-00006-9</w:t>
      </w:r>
    </w:p>
    <w:p w14:paraId="702E0CB6" w14:textId="77777777" w:rsidR="0015108E" w:rsidRPr="002A20E4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 w:rsidRPr="002A20E4">
        <w:rPr>
          <w:rFonts w:ascii="Times New Roman" w:eastAsia="Times New Roman" w:hAnsi="Symbol" w:cs="Times New Roman"/>
          <w:sz w:val="24"/>
          <w:szCs w:val="24"/>
          <w:lang w:eastAsia="en-ZA"/>
        </w:rPr>
        <w:t></w:t>
      </w:r>
      <w:r w:rsidRPr="002A20E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 </w:t>
      </w:r>
      <w:proofErr w:type="spellStart"/>
      <w:r w:rsidRPr="002A20E4">
        <w:rPr>
          <w:rFonts w:ascii="Times New Roman" w:eastAsia="Times New Roman" w:hAnsi="Times New Roman" w:cs="Times New Roman"/>
          <w:sz w:val="24"/>
          <w:szCs w:val="24"/>
          <w:lang w:eastAsia="en-ZA"/>
        </w:rPr>
        <w:t>Ienca</w:t>
      </w:r>
      <w:proofErr w:type="spellEnd"/>
      <w:proofErr w:type="gramEnd"/>
      <w:r w:rsidRPr="002A20E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M., &amp; </w:t>
      </w:r>
      <w:proofErr w:type="spellStart"/>
      <w:r w:rsidRPr="002A20E4">
        <w:rPr>
          <w:rFonts w:ascii="Times New Roman" w:eastAsia="Times New Roman" w:hAnsi="Times New Roman" w:cs="Times New Roman"/>
          <w:sz w:val="24"/>
          <w:szCs w:val="24"/>
          <w:lang w:eastAsia="en-ZA"/>
        </w:rPr>
        <w:t>Andorno</w:t>
      </w:r>
      <w:proofErr w:type="spellEnd"/>
      <w:r w:rsidRPr="002A20E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R. (2017). </w:t>
      </w:r>
      <w:r w:rsidRPr="002A20E4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Towards new human rights in the age of neuroscience and neurotechnology.</w:t>
      </w:r>
      <w:r w:rsidRPr="002A20E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Life Sciences, Society and Policy, 13(1), 5. https://doi.org/10.1186/s40504-017-0050-1</w:t>
      </w:r>
    </w:p>
    <w:p w14:paraId="31AAA10C" w14:textId="77777777" w:rsidR="0015108E" w:rsidRPr="002A20E4" w:rsidRDefault="0015108E" w:rsidP="001510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 w:rsidRPr="002A20E4">
        <w:rPr>
          <w:rFonts w:ascii="Times New Roman" w:eastAsia="Times New Roman" w:hAnsi="Symbol" w:cs="Times New Roman"/>
          <w:sz w:val="24"/>
          <w:szCs w:val="24"/>
          <w:lang w:eastAsia="en-ZA"/>
        </w:rPr>
        <w:t></w:t>
      </w:r>
      <w:r w:rsidRPr="002A20E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 </w:t>
      </w:r>
      <w:proofErr w:type="spellStart"/>
      <w:r w:rsidRPr="002A20E4">
        <w:rPr>
          <w:rFonts w:ascii="Times New Roman" w:eastAsia="Times New Roman" w:hAnsi="Times New Roman" w:cs="Times New Roman"/>
          <w:sz w:val="24"/>
          <w:szCs w:val="24"/>
          <w:lang w:eastAsia="en-ZA"/>
        </w:rPr>
        <w:t>Yuste</w:t>
      </w:r>
      <w:proofErr w:type="spellEnd"/>
      <w:proofErr w:type="gramEnd"/>
      <w:r w:rsidRPr="002A20E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R., Goering, S., Bi, G., </w:t>
      </w:r>
      <w:proofErr w:type="spellStart"/>
      <w:r w:rsidRPr="002A20E4">
        <w:rPr>
          <w:rFonts w:ascii="Times New Roman" w:eastAsia="Times New Roman" w:hAnsi="Times New Roman" w:cs="Times New Roman"/>
          <w:sz w:val="24"/>
          <w:szCs w:val="24"/>
          <w:lang w:eastAsia="en-ZA"/>
        </w:rPr>
        <w:t>Carmena</w:t>
      </w:r>
      <w:proofErr w:type="spellEnd"/>
      <w:r w:rsidRPr="002A20E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J. M., Carter, A., Fins, J. J., ... &amp; </w:t>
      </w:r>
      <w:proofErr w:type="spellStart"/>
      <w:r w:rsidRPr="002A20E4">
        <w:rPr>
          <w:rFonts w:ascii="Times New Roman" w:eastAsia="Times New Roman" w:hAnsi="Times New Roman" w:cs="Times New Roman"/>
          <w:sz w:val="24"/>
          <w:szCs w:val="24"/>
          <w:lang w:eastAsia="en-ZA"/>
        </w:rPr>
        <w:t>Wolpaw</w:t>
      </w:r>
      <w:proofErr w:type="spellEnd"/>
      <w:r w:rsidRPr="002A20E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J. (2017). </w:t>
      </w:r>
      <w:r w:rsidRPr="002A20E4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 xml:space="preserve">Four ethical priorities for </w:t>
      </w:r>
      <w:proofErr w:type="spellStart"/>
      <w:r w:rsidRPr="002A20E4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neurotechnologies</w:t>
      </w:r>
      <w:proofErr w:type="spellEnd"/>
      <w:r w:rsidRPr="002A20E4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 xml:space="preserve"> and AI.</w:t>
      </w:r>
      <w:r w:rsidRPr="002A20E4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Nature, 551(7679), 159–163. https://doi.org/10.1038/551159a</w:t>
      </w:r>
    </w:p>
    <w:p w14:paraId="79F117CE" w14:textId="77777777" w:rsidR="0015108E" w:rsidRDefault="0015108E" w:rsidP="0015108E">
      <w:pPr>
        <w:pStyle w:val="NormalWeb"/>
      </w:pPr>
      <w:proofErr w:type="gramStart"/>
      <w:r>
        <w:rPr>
          <w:rFonts w:hAnsi="Symbol"/>
        </w:rPr>
        <w:t></w:t>
      </w:r>
      <w:r>
        <w:t xml:space="preserve">  Bloom</w:t>
      </w:r>
      <w:proofErr w:type="gramEnd"/>
      <w:r>
        <w:t xml:space="preserve">, B. S. (1956). </w:t>
      </w:r>
      <w:r>
        <w:rPr>
          <w:rStyle w:val="Emphasis"/>
        </w:rPr>
        <w:t>Taxonomy of Educational Objectives: The Classification of Educational Goals.</w:t>
      </w:r>
    </w:p>
    <w:p w14:paraId="312B40DC" w14:textId="77777777" w:rsidR="0015108E" w:rsidRDefault="0015108E" w:rsidP="0015108E">
      <w:pPr>
        <w:pStyle w:val="NormalWeb"/>
      </w:pPr>
      <w:proofErr w:type="gramStart"/>
      <w:r>
        <w:rPr>
          <w:rFonts w:hAnsi="Symbol"/>
        </w:rPr>
        <w:t></w:t>
      </w:r>
      <w:r>
        <w:t xml:space="preserve">  Anderson</w:t>
      </w:r>
      <w:proofErr w:type="gramEnd"/>
      <w:r>
        <w:t xml:space="preserve">, L. W., &amp; Krathwohl, D. R. (2001). </w:t>
      </w:r>
      <w:r>
        <w:rPr>
          <w:rStyle w:val="Emphasis"/>
        </w:rPr>
        <w:t>A Taxonomy for Learning, Teaching, and Assessing: A Revision of Bloom’s Taxonomy of Educational Objectives.</w:t>
      </w:r>
    </w:p>
    <w:p w14:paraId="6363F7AF" w14:textId="77777777" w:rsidR="0015108E" w:rsidRDefault="0015108E" w:rsidP="0015108E">
      <w:pPr>
        <w:pStyle w:val="NormalWeb"/>
      </w:pPr>
      <w:proofErr w:type="gramStart"/>
      <w:r>
        <w:rPr>
          <w:rFonts w:hAnsi="Symbol"/>
        </w:rPr>
        <w:t></w:t>
      </w:r>
      <w:r>
        <w:t xml:space="preserve">  Technology</w:t>
      </w:r>
      <w:proofErr w:type="gramEnd"/>
      <w:r>
        <w:t xml:space="preserve"> for Learners. (2023). </w:t>
      </w:r>
      <w:r>
        <w:rPr>
          <w:rStyle w:val="Emphasis"/>
        </w:rPr>
        <w:t>Bloom’s Revised Taxonomy: Educational Framework.</w:t>
      </w:r>
      <w:r>
        <w:t xml:space="preserve"> Retrieved from https://technologyforlearners.com</w:t>
      </w:r>
    </w:p>
    <w:p w14:paraId="3FF48870" w14:textId="77777777" w:rsidR="0015108E" w:rsidRDefault="0015108E">
      <w:bookmarkStart w:id="0" w:name="_GoBack"/>
      <w:bookmarkEnd w:id="0"/>
    </w:p>
    <w:sectPr w:rsidR="001510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B4C"/>
    <w:rsid w:val="001215FA"/>
    <w:rsid w:val="0015108E"/>
    <w:rsid w:val="00AA2B4C"/>
    <w:rsid w:val="00B31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A7C8A"/>
  <w15:chartTrackingRefBased/>
  <w15:docId w15:val="{2B8BF546-35E2-4919-B67F-A8AF7435E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1215F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1215FA"/>
    <w:rPr>
      <w:rFonts w:ascii="Times New Roman" w:eastAsia="Times New Roman" w:hAnsi="Times New Roman" w:cs="Times New Roman"/>
      <w:b/>
      <w:bCs/>
      <w:sz w:val="27"/>
      <w:szCs w:val="27"/>
      <w:lang w:eastAsia="en-ZA"/>
    </w:rPr>
  </w:style>
  <w:style w:type="character" w:styleId="Strong">
    <w:name w:val="Strong"/>
    <w:basedOn w:val="DefaultParagraphFont"/>
    <w:uiPriority w:val="22"/>
    <w:qFormat/>
    <w:rsid w:val="001215FA"/>
    <w:rPr>
      <w:b/>
      <w:bCs/>
    </w:rPr>
  </w:style>
  <w:style w:type="character" w:styleId="Emphasis">
    <w:name w:val="Emphasis"/>
    <w:basedOn w:val="DefaultParagraphFont"/>
    <w:uiPriority w:val="20"/>
    <w:qFormat/>
    <w:rsid w:val="001215FA"/>
    <w:rPr>
      <w:i/>
      <w:iCs/>
    </w:rPr>
  </w:style>
  <w:style w:type="character" w:styleId="Hyperlink">
    <w:name w:val="Hyperlink"/>
    <w:basedOn w:val="DefaultParagraphFont"/>
    <w:uiPriority w:val="99"/>
    <w:unhideWhenUsed/>
    <w:rsid w:val="0015108E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510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260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10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5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2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24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384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45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6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0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1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8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139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9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68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ckinsey.com" TargetMode="External"/><Relationship Id="rId13" Type="http://schemas.openxmlformats.org/officeDocument/2006/relationships/hyperlink" Target="https://sdgs.un.org/2030agenda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doi.org/10.1080/01972240490507974" TargetMode="External"/><Relationship Id="rId12" Type="http://schemas.openxmlformats.org/officeDocument/2006/relationships/hyperlink" Target="https://doi.org/10.3389/fcogn.2023.1203077" TargetMode="External"/><Relationship Id="rId17" Type="http://schemas.openxmlformats.org/officeDocument/2006/relationships/hyperlink" Target="https://www.fda.gov/medical-devices/digital-health-center-excellence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doi.org/10.1038/s41746-025-01602-5" TargetMode="External"/><Relationship Id="rId1" Type="http://schemas.openxmlformats.org/officeDocument/2006/relationships/styles" Target="styles.xml"/><Relationship Id="rId6" Type="http://schemas.openxmlformats.org/officeDocument/2006/relationships/hyperlink" Target="https://dtxalliance.org/wp-content/uploads/2021/01/DTA_DTx-Definition-and-Core-Principles.pdf" TargetMode="External"/><Relationship Id="rId11" Type="http://schemas.openxmlformats.org/officeDocument/2006/relationships/hyperlink" Target="https://www.weforum.org/agenda/2016/01/the-fourth-industrial-revolution-what-it-means-and-how-to-respond/" TargetMode="External"/><Relationship Id="rId5" Type="http://schemas.openxmlformats.org/officeDocument/2006/relationships/hyperlink" Target="https://doi.org/10.1177/20539517221149097" TargetMode="External"/><Relationship Id="rId15" Type="http://schemas.openxmlformats.org/officeDocument/2006/relationships/hyperlink" Target="https://www.who.int/publications/i/item/9789240072895" TargetMode="External"/><Relationship Id="rId10" Type="http://schemas.openxmlformats.org/officeDocument/2006/relationships/hyperlink" Target="https://doi.org/10.3389/fnrgo.2023.1171403" TargetMode="External"/><Relationship Id="rId19" Type="http://schemas.openxmlformats.org/officeDocument/2006/relationships/theme" Target="theme/theme1.xml"/><Relationship Id="rId4" Type="http://schemas.openxmlformats.org/officeDocument/2006/relationships/hyperlink" Target="https://doi.org/10.3389/fpsyg.2023.1122200" TargetMode="External"/><Relationship Id="rId9" Type="http://schemas.openxmlformats.org/officeDocument/2006/relationships/hyperlink" Target="https://doi.org/10.1002/btm2.10536" TargetMode="External"/><Relationship Id="rId14" Type="http://schemas.openxmlformats.org/officeDocument/2006/relationships/hyperlink" Target="https://www.unesco.org/reports/gem-report/20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2162</Words>
  <Characters>12330</Characters>
  <Application>Microsoft Office Word</Application>
  <DocSecurity>0</DocSecurity>
  <Lines>102</Lines>
  <Paragraphs>28</Paragraphs>
  <ScaleCrop>false</ScaleCrop>
  <Company/>
  <LinksUpToDate>false</LinksUpToDate>
  <CharactersWithSpaces>14464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Tinotenda Lincoln</dc:creator>
  <cp:keywords/>
  <dc:description/>
  <cp:lastModifiedBy>Mhedziso, Tinotenda, (Mr) (s227284240)</cp:lastModifiedBy>
  <cp:revision>3</cp:revision>
  <dcterms:created xsi:type="dcterms:W3CDTF">2025-10-03T15:32:00Z</dcterms:created>
  <dcterms:modified xsi:type="dcterms:W3CDTF">2025-10-16T13:25:00Z</dcterms:modified>
</cp:coreProperties>
</file>