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4948"/>
      </w:tblGrid>
      <w:tr w:rsidR="00C57A98" w:rsidRPr="00C57A98" w14:paraId="6013E8D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89B1B" w14:textId="20154F53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</w:t>
            </w: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itle Page</w:t>
            </w:r>
          </w:p>
        </w:tc>
        <w:tc>
          <w:tcPr>
            <w:tcW w:w="0" w:type="auto"/>
            <w:vAlign w:val="center"/>
            <w:hideMark/>
          </w:tcPr>
          <w:p w14:paraId="5F7329B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Keep as is; include student info, title, module, date</w:t>
            </w:r>
          </w:p>
        </w:tc>
      </w:tr>
    </w:tbl>
    <w:p w14:paraId="76D90D2C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3362"/>
      </w:tblGrid>
      <w:tr w:rsidR="00C57A98" w:rsidRPr="00C57A98" w14:paraId="7A35322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35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17964080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150–250 words; concise summary</w:t>
            </w:r>
          </w:p>
        </w:tc>
      </w:tr>
    </w:tbl>
    <w:p w14:paraId="65D2298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6"/>
        <w:gridCol w:w="1595"/>
      </w:tblGrid>
      <w:tr w:rsidR="00C57A98" w:rsidRPr="00C57A98" w14:paraId="66E32D4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24B2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Table of Contents / Lists of Figures &amp; Tables</w:t>
            </w:r>
          </w:p>
        </w:tc>
        <w:tc>
          <w:tcPr>
            <w:tcW w:w="0" w:type="auto"/>
            <w:vAlign w:val="center"/>
            <w:hideMark/>
          </w:tcPr>
          <w:p w14:paraId="3D39A10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Auto-numbered</w:t>
            </w:r>
          </w:p>
        </w:tc>
      </w:tr>
    </w:tbl>
    <w:p w14:paraId="344D15A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5195"/>
      </w:tblGrid>
      <w:tr w:rsidR="00C57A98" w:rsidRPr="00C57A98" w14:paraId="3895774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49C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1. Introduction</w:t>
            </w:r>
          </w:p>
        </w:tc>
        <w:tc>
          <w:tcPr>
            <w:tcW w:w="0" w:type="auto"/>
            <w:vAlign w:val="center"/>
            <w:hideMark/>
          </w:tcPr>
          <w:p w14:paraId="32CE8A1E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purpose, background, and aims; sets scope</w:t>
            </w:r>
          </w:p>
        </w:tc>
      </w:tr>
    </w:tbl>
    <w:p w14:paraId="590E3C4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5830"/>
      </w:tblGrid>
      <w:tr w:rsidR="00C57A98" w:rsidRPr="00C57A98" w14:paraId="33F8DB07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6D4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2. Background &amp; Literature Review</w:t>
            </w:r>
          </w:p>
        </w:tc>
        <w:tc>
          <w:tcPr>
            <w:tcW w:w="0" w:type="auto"/>
            <w:vAlign w:val="center"/>
            <w:hideMark/>
          </w:tcPr>
          <w:p w14:paraId="270CDFF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Merge Historical Context + Current Context + Technical Foundations here</w:t>
            </w:r>
          </w:p>
        </w:tc>
      </w:tr>
    </w:tbl>
    <w:p w14:paraId="6CF75C4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173"/>
      </w:tblGrid>
      <w:tr w:rsidR="00C57A98" w:rsidRPr="00C57A98" w14:paraId="51A30275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0D9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3. Applications &amp; Use Cases</w:t>
            </w:r>
          </w:p>
        </w:tc>
        <w:tc>
          <w:tcPr>
            <w:tcW w:w="0" w:type="auto"/>
            <w:vAlign w:val="center"/>
            <w:hideMark/>
          </w:tcPr>
          <w:p w14:paraId="45C27F8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“Industry Adoption” + “Applications and Case Studies”</w:t>
            </w:r>
          </w:p>
        </w:tc>
      </w:tr>
    </w:tbl>
    <w:p w14:paraId="75A226FB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9"/>
        <w:gridCol w:w="4941"/>
      </w:tblGrid>
      <w:tr w:rsidR="00C57A98" w:rsidRPr="00C57A98" w14:paraId="1959061D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5B4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4. Ethical &amp; Societal Implications</w:t>
            </w:r>
          </w:p>
        </w:tc>
        <w:tc>
          <w:tcPr>
            <w:tcW w:w="0" w:type="auto"/>
            <w:vAlign w:val="center"/>
            <w:hideMark/>
          </w:tcPr>
          <w:p w14:paraId="69C0827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Challenges, limitations, privacy, bias, accessibility</w:t>
            </w:r>
          </w:p>
        </w:tc>
      </w:tr>
    </w:tbl>
    <w:p w14:paraId="074C50F1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4201"/>
      </w:tblGrid>
      <w:tr w:rsidR="00C57A98" w:rsidRPr="00C57A98" w14:paraId="6DAD93B4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9EF3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5. Problem / Opportunity Statement</w:t>
            </w:r>
          </w:p>
        </w:tc>
        <w:tc>
          <w:tcPr>
            <w:tcW w:w="0" w:type="auto"/>
            <w:vAlign w:val="center"/>
            <w:hideMark/>
          </w:tcPr>
          <w:p w14:paraId="7EE9E2C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the research gap; SDG relevance</w:t>
            </w:r>
          </w:p>
        </w:tc>
      </w:tr>
    </w:tbl>
    <w:p w14:paraId="37084F3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6"/>
        <w:gridCol w:w="5380"/>
      </w:tblGrid>
      <w:tr w:rsidR="00C57A98" w:rsidRPr="00C57A98" w14:paraId="2333996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96F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6. Proposed System Design / Methodology</w:t>
            </w:r>
          </w:p>
        </w:tc>
        <w:tc>
          <w:tcPr>
            <w:tcW w:w="0" w:type="auto"/>
            <w:vAlign w:val="center"/>
            <w:hideMark/>
          </w:tcPr>
          <w:p w14:paraId="5453857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Methodology + system design, technical architecture, inputs/outputs</w:t>
            </w:r>
          </w:p>
        </w:tc>
      </w:tr>
    </w:tbl>
    <w:p w14:paraId="0D917564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6567"/>
      </w:tblGrid>
      <w:tr w:rsidR="00C57A98" w:rsidRPr="00C57A98" w14:paraId="0C4F0BDF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36C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7. Discussion &amp; Analysis</w:t>
            </w:r>
          </w:p>
        </w:tc>
        <w:tc>
          <w:tcPr>
            <w:tcW w:w="0" w:type="auto"/>
            <w:vAlign w:val="center"/>
            <w:hideMark/>
          </w:tcPr>
          <w:p w14:paraId="66B01629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Interpret findings, compare with conventional solutions, future prospects</w:t>
            </w:r>
          </w:p>
        </w:tc>
      </w:tr>
    </w:tbl>
    <w:p w14:paraId="4F872FD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408"/>
      </w:tblGrid>
      <w:tr w:rsidR="00C57A98" w:rsidRPr="00C57A98" w14:paraId="44EA38B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3566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8. Recommendations</w:t>
            </w:r>
          </w:p>
        </w:tc>
        <w:tc>
          <w:tcPr>
            <w:tcW w:w="0" w:type="auto"/>
            <w:vAlign w:val="center"/>
            <w:hideMark/>
          </w:tcPr>
          <w:p w14:paraId="025654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Actionable steps based on analysis</w:t>
            </w:r>
          </w:p>
        </w:tc>
      </w:tr>
    </w:tbl>
    <w:p w14:paraId="688ECA2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6240"/>
      </w:tblGrid>
      <w:tr w:rsidR="00C57A98" w:rsidRPr="00C57A98" w14:paraId="6A10A640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2CCF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9. Conclusion</w:t>
            </w:r>
          </w:p>
        </w:tc>
        <w:tc>
          <w:tcPr>
            <w:tcW w:w="0" w:type="auto"/>
            <w:vAlign w:val="center"/>
            <w:hideMark/>
          </w:tcPr>
          <w:p w14:paraId="7439D79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Summarize contributions, reiterate significance, SDG alignment</w:t>
            </w:r>
          </w:p>
        </w:tc>
      </w:tr>
    </w:tbl>
    <w:p w14:paraId="1BC6E2C2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649"/>
      </w:tblGrid>
      <w:tr w:rsidR="00C57A98" w:rsidRPr="00C57A98" w14:paraId="5C330F9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5E97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700A74E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APA 7th edition</w:t>
            </w:r>
          </w:p>
        </w:tc>
      </w:tr>
    </w:tbl>
    <w:p w14:paraId="2DE9051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854"/>
      </w:tblGrid>
      <w:tr w:rsidR="00C57A98" w:rsidRPr="00C57A98" w14:paraId="41DB7AB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628C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Appendices</w:t>
            </w:r>
          </w:p>
        </w:tc>
        <w:tc>
          <w:tcPr>
            <w:tcW w:w="0" w:type="auto"/>
            <w:vAlign w:val="center"/>
            <w:hideMark/>
          </w:tcPr>
          <w:p w14:paraId="5306AB0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Figures, tables, diagrams, supplementary material</w:t>
            </w:r>
          </w:p>
        </w:tc>
      </w:tr>
    </w:tbl>
    <w:p w14:paraId="7818A4DA" w14:textId="6D95F455" w:rsidR="00366421" w:rsidRDefault="00366421"/>
    <w:p w14:paraId="2CCB6401" w14:textId="11C84F69" w:rsidR="001325C6" w:rsidRDefault="001325C6"/>
    <w:p w14:paraId="53487291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Abstract (≈250 words)</w:t>
      </w:r>
    </w:p>
    <w:p w14:paraId="1D600F4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Give the reader the movie trailer — concise summary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what, why, how, and what it 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37C2A9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B337E06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background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technology’s impact on mental health and cognition.</w:t>
      </w:r>
    </w:p>
    <w:p w14:paraId="41768199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 line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problem statement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rapid tech evolution → human brain adaptation challenge.</w:t>
      </w:r>
    </w:p>
    <w:p w14:paraId="7A56A71E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methods/approach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: conceptual synthesis using DP,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, and neurotech (2020–2025).</w:t>
      </w:r>
    </w:p>
    <w:p w14:paraId="69561040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2–3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key insight/findings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benefits + risks + ethical implications.</w:t>
      </w:r>
    </w:p>
    <w:p w14:paraId="25BA45E3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implications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alignment with SDG 3 &amp; 4.</w:t>
      </w:r>
    </w:p>
    <w:p w14:paraId="7617D8B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 tip: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Finish by pointing to how the introduction expands on this issue in depth.</w:t>
      </w:r>
    </w:p>
    <w:p w14:paraId="0BE31BF0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61BFC68">
          <v:rect id="_x0000_i1025" style="width:0;height:1.5pt" o:hralign="center" o:hrstd="t" o:hr="t" fillcolor="#a0a0a0" stroked="f"/>
        </w:pict>
      </w:r>
    </w:p>
    <w:p w14:paraId="22B3861A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Introduction (≈800 words)</w:t>
      </w:r>
    </w:p>
    <w:p w14:paraId="5C2C6AF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Anchor the reader in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research — the global cognitive challenge in the age of technology.</w:t>
      </w:r>
    </w:p>
    <w:p w14:paraId="2F103F3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1D556D95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Historical setup: how tech and cognition have co-evolved (writing → AI).</w:t>
      </w:r>
    </w:p>
    <w:p w14:paraId="7159AFBD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Define the problem: information overload, automation, and cognitive offloading.</w:t>
      </w:r>
    </w:p>
    <w:p w14:paraId="18B7D1D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State the scope: focusing on Digital Phenotyping, Digital Therapeutics, and Neurotechnology.</w:t>
      </w:r>
    </w:p>
    <w:p w14:paraId="5EFAA37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Connect to global goals (SDG 3, 4, 9).</w:t>
      </w:r>
    </w:p>
    <w:p w14:paraId="505EBF96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End with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aims and structure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paper (mini road map).</w:t>
      </w:r>
    </w:p>
    <w:p w14:paraId="5DE8BAC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“To situate this discussion within existing academic thought, the next section reviews key literature that explores the intersection of technology and human cognition.”</w:t>
      </w:r>
    </w:p>
    <w:p w14:paraId="4452439A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7AAEC691">
          <v:rect id="_x0000_i1026" style="width:0;height:1.5pt" o:hralign="center" o:hrstd="t" o:hr="t" fillcolor="#a0a0a0" stroked="f"/>
        </w:pict>
      </w:r>
    </w:p>
    <w:p w14:paraId="22F84696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Literature Review (≈1 000 words)</w:t>
      </w:r>
    </w:p>
    <w:p w14:paraId="29B8A19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Show mastery of what has been written and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reveal the gap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your paper addresses.</w:t>
      </w:r>
    </w:p>
    <w:p w14:paraId="2B1BE111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7962064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Theoretical foundations: cognitive load theory, neuroplasticity, digital cognition.</w:t>
      </w:r>
    </w:p>
    <w:p w14:paraId="056586A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Key fields: neuroscience, AI ethics, educational psychology, cognitive science.</w:t>
      </w:r>
    </w:p>
    <w:p w14:paraId="22EB84D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Review of studies (2020–2025) linking technology use to brain outcomes.</w:t>
      </w:r>
    </w:p>
    <w:p w14:paraId="40541395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Current limitations: fragmented data, lack of longitudinal evidence, ethical opacity.</w:t>
      </w:r>
    </w:p>
    <w:p w14:paraId="74800F0C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Emerging thought: digital phenotyping and neurotech as integrative approaches.</w:t>
      </w:r>
    </w:p>
    <w:p w14:paraId="6FCE29F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“Building upon these studies, this report employs a structured analytical method to synthesise insights from across disciplines.”</w:t>
      </w:r>
    </w:p>
    <w:p w14:paraId="532D6E4E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E04B000">
          <v:rect id="_x0000_i1027" style="width:0;height:1.5pt" o:hralign="center" o:hrstd="t" o:hr="t" fillcolor="#a0a0a0" stroked="f"/>
        </w:pict>
      </w:r>
    </w:p>
    <w:p w14:paraId="10ED8460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Methodology (≈300 words)</w:t>
      </w:r>
    </w:p>
    <w:p w14:paraId="02FC08C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Explain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 gathered, filtered, and analysed evidence — even conceptually.</w:t>
      </w:r>
    </w:p>
    <w:p w14:paraId="19E9931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0BC6FD6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Research design: qualitative conceptual synthesis.</w:t>
      </w:r>
    </w:p>
    <w:p w14:paraId="481B421A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Data sources: Scopus, PubMed, IEEE, WHO, OECD (2020–2025).</w:t>
      </w:r>
    </w:p>
    <w:p w14:paraId="58C3C5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Inclusion criteria: peer-reviewed, relevance to cognition/mental health.</w:t>
      </w:r>
    </w:p>
    <w:p w14:paraId="698521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Analytical framework: thematic coding into categories (applications, risks, policy, etc.).</w:t>
      </w:r>
    </w:p>
    <w:p w14:paraId="336B960B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Limitations: secondary analysis; interpretive bias; evolving tech landscape.</w:t>
      </w:r>
    </w:p>
    <w:p w14:paraId="4167E3A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“Using this framework, the following section explores how these technologies are currently being applied across health, cognitive and educational domains.”</w:t>
      </w:r>
    </w:p>
    <w:p w14:paraId="4996998C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34E0A546">
          <v:rect id="_x0000_i1028" style="width:0;height:1.5pt" o:hralign="center" o:hrstd="t" o:hr="t" fillcolor="#a0a0a0" stroked="f"/>
        </w:pict>
      </w:r>
    </w:p>
    <w:p w14:paraId="318D7C0F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Applications (≈1 000 words)</w:t>
      </w:r>
    </w:p>
    <w:p w14:paraId="1BDD0A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Illustrate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theory meets practice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D608A2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Organise by theme or technology:</w:t>
      </w:r>
    </w:p>
    <w:p w14:paraId="7315E5C5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Phenotyping: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real-time monitoring, cognitive analytics, predictive models.</w:t>
      </w:r>
    </w:p>
    <w:p w14:paraId="2A1CBC3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Therapeutics: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clinical mental health apps, AI-guided CBT, brain-computer feedback.</w:t>
      </w:r>
    </w:p>
    <w:p w14:paraId="2B6E4BC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Neurotechnology: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BCIs, EEG wearables,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tDCS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/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tMS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learning enhancement.</w:t>
      </w:r>
    </w:p>
    <w:p w14:paraId="415EB091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Cross-sector integration (education, healthcare, workplaces).</w:t>
      </w:r>
    </w:p>
    <w:p w14:paraId="68A8943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“While these applications demonstrate substantial promise, critical analysis reveals underlying cognitive, ethical, and societal tensions that must be addressed.”</w:t>
      </w:r>
    </w:p>
    <w:p w14:paraId="264C3278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314DE4">
          <v:rect id="_x0000_i1029" style="width:0;height:1.5pt" o:hralign="center" o:hrstd="t" o:hr="t" fillcolor="#a0a0a0" stroked="f"/>
        </w:pict>
      </w:r>
    </w:p>
    <w:p w14:paraId="5438E98E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Analysis (≈600 words)</w:t>
      </w:r>
    </w:p>
    <w:p w14:paraId="2664BCC3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Synthesis zone — interpret what all this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1AA45F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7C4A758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Identify overarching patterns (e.g. shift from reactive to proactive care).</w:t>
      </w:r>
    </w:p>
    <w:p w14:paraId="4F8CD99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Evaluate balance between enhancement and dependency.</w:t>
      </w:r>
    </w:p>
    <w:p w14:paraId="6983ADB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Discuss how tech changes cognitive architecture (attention, memory, decision-making).</w:t>
      </w:r>
    </w:p>
    <w:p w14:paraId="7BAB88E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Integrate theoretical models (e.g. Extended Mind Theory, Cognitive Offloading).</w:t>
      </w:r>
    </w:p>
    <w:p w14:paraId="7EB142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insights also expose deep-rooted challenges that threaten equitable, ethical, and sustainable integration of brain-centred technologies.”</w:t>
      </w:r>
    </w:p>
    <w:p w14:paraId="713E83C5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385E709">
          <v:rect id="_x0000_i1030" style="width:0;height:1.5pt" o:hralign="center" o:hrstd="t" o:hr="t" fillcolor="#a0a0a0" stroked="f"/>
        </w:pict>
      </w:r>
    </w:p>
    <w:p w14:paraId="06520133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7️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Challenges (≈800 words)</w:t>
      </w:r>
    </w:p>
    <w:p w14:paraId="1304B2E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Deep dive into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ethical, technical, and societal limitations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36503CA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F33D2B9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Ethical: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privacy, autonomy, informed consent, algorithmic transparency.</w:t>
      </w:r>
    </w:p>
    <w:p w14:paraId="4227C6F1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Social: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inequality of access, digital divide, mental health stigma.</w:t>
      </w:r>
    </w:p>
    <w:p w14:paraId="0B07ED30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Technical: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data quality, sensor bias, interpretive accuracy, lack of interoperability.</w:t>
      </w:r>
    </w:p>
    <w:p w14:paraId="4A22F18D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Policy gap: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regulatory fragmentation, unclear liability.</w:t>
      </w:r>
    </w:p>
    <w:p w14:paraId="3999810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“Addressing these barriers requires a coherent set of recommendations for research, governance, and practical adoption.”</w:t>
      </w:r>
    </w:p>
    <w:p w14:paraId="50F76BA4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2FD41DA">
          <v:rect id="_x0000_i1031" style="width:0;height:1.5pt" o:hralign="center" o:hrstd="t" o:hr="t" fillcolor="#a0a0a0" stroked="f"/>
        </w:pict>
      </w:r>
    </w:p>
    <w:p w14:paraId="3EE94FB7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8️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Recommendations (≈400 words)</w:t>
      </w:r>
    </w:p>
    <w:p w14:paraId="17A3F0D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Turn critique into constructive solutions.</w:t>
      </w:r>
    </w:p>
    <w:p w14:paraId="075BBF1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5BE1A9C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Academic: promote interdisciplinary neuro-digital research frameworks.</w:t>
      </w:r>
    </w:p>
    <w:p w14:paraId="490FC34A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Industrial: mandate ethical AI standards and open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neurodata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practices.</w:t>
      </w:r>
    </w:p>
    <w:p w14:paraId="7CC3C7F1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Educational: integrate cognitive literacy and responsible tech use.</w:t>
      </w:r>
    </w:p>
    <w:p w14:paraId="7DDA757D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Policy: align with WHO, UN, OECD mental health innovation agendas.</w:t>
      </w:r>
    </w:p>
    <w:p w14:paraId="40DA2FE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recommendations underscore the path forward, but their success ultimately depends on a shared understanding of humanity’s cognitive limits and technological aspirations.”</w:t>
      </w:r>
    </w:p>
    <w:p w14:paraId="0D6B7AC5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8D40C27">
          <v:rect id="_x0000_i1032" style="width:0;height:1.5pt" o:hralign="center" o:hrstd="t" o:hr="t" fillcolor="#a0a0a0" stroked="f"/>
        </w:pict>
      </w:r>
    </w:p>
    <w:p w14:paraId="6F519B9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9️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Conclusion (≈200 words)</w:t>
      </w:r>
    </w:p>
    <w:p w14:paraId="28CB3A1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Deliver the emotional and intellectual closure — the “so what”.</w:t>
      </w:r>
    </w:p>
    <w:p w14:paraId="1780416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2E5AA780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Restate the urgency of balancing technological progress with cognitive sustainability.</w:t>
      </w:r>
    </w:p>
    <w:p w14:paraId="66D8961D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Reinforce the paper’s contribution.</w:t>
      </w:r>
    </w:p>
    <w:p w14:paraId="1E03D4B7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Close with a reflective or future-oriented statement (e.g., “The future of innovation will depend as much on our understanding of the brain as on our ability to engineer technology.”).</w:t>
      </w:r>
    </w:p>
    <w:p w14:paraId="140445D4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E32AB5">
          <v:rect id="_x0000_i1033" style="width:0;height:1.5pt" o:hralign="center" o:hrstd="t" o:hr="t" fillcolor="#a0a0a0" stroked="f"/>
        </w:pict>
      </w:r>
    </w:p>
    <w:p w14:paraId="02F7853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🔗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How Transitions Work</w:t>
      </w:r>
    </w:p>
    <w:p w14:paraId="6CBE9FD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Think of this as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bridging paragraphs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that keep the flow seamless:</w:t>
      </w:r>
    </w:p>
    <w:p w14:paraId="6805F309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Each section ends by signalling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the next section is necessary.</w:t>
      </w:r>
    </w:p>
    <w:p w14:paraId="47499695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Use connective logic such as:</w:t>
      </w:r>
    </w:p>
    <w:p w14:paraId="6D22A4B3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“However,” “Building upon this,” “In contrast,” “To address this gap,”</w:t>
      </w:r>
    </w:p>
    <w:p w14:paraId="6515474F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 next section therefore examines…”</w:t>
      </w:r>
    </w:p>
    <w:p w14:paraId="7C5D8B45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“These findings raise critical questions explored further below.”</w:t>
      </w:r>
    </w:p>
    <w:p w14:paraId="2BB4D3A6" w14:textId="77777777" w:rsidR="001325C6" w:rsidRPr="001325C6" w:rsidRDefault="0063320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AEA22DF">
          <v:rect id="_x0000_i1034" style="width:0;height:1.5pt" o:hralign="center" o:hrstd="t" o:hr="t" fillcolor="#a0a0a0" stroked="f"/>
        </w:pict>
      </w:r>
    </w:p>
    <w:p w14:paraId="53284B44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📘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Example of the Logical Arc</w:t>
      </w:r>
    </w:p>
    <w:p w14:paraId="4BDC3FE0" w14:textId="77777777" w:rsidR="001325C6" w:rsidRPr="001325C6" w:rsidRDefault="001325C6" w:rsidP="001325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INTRO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defines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(the problem)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LIT REVIEW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METHODOLOGY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explains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what’s happening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ANALYSIS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interprets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CHALLENGES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reveals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it’s not simple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RECOMMENDATIONS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proposes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to do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CONCLUSION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reminds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 long-term</w:t>
      </w:r>
    </w:p>
    <w:p w14:paraId="4C9B28D7" w14:textId="4C95B3C4" w:rsidR="001325C6" w:rsidRDefault="001325C6"/>
    <w:p w14:paraId="261E36C1" w14:textId="702747B4" w:rsidR="005063D9" w:rsidRDefault="005063D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868"/>
        <w:gridCol w:w="2309"/>
        <w:gridCol w:w="1903"/>
        <w:gridCol w:w="1697"/>
      </w:tblGrid>
      <w:tr w:rsidR="005063D9" w:rsidRPr="005063D9" w14:paraId="1F0D8544" w14:textId="77777777" w:rsidTr="005063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B406D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2D3647F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2C3403E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Core Question</w:t>
            </w:r>
          </w:p>
        </w:tc>
        <w:tc>
          <w:tcPr>
            <w:tcW w:w="0" w:type="auto"/>
            <w:vAlign w:val="center"/>
            <w:hideMark/>
          </w:tcPr>
          <w:p w14:paraId="578457C6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Cognitive Relevance</w:t>
            </w:r>
          </w:p>
        </w:tc>
        <w:tc>
          <w:tcPr>
            <w:tcW w:w="0" w:type="auto"/>
            <w:vAlign w:val="center"/>
            <w:hideMark/>
          </w:tcPr>
          <w:p w14:paraId="0B282B30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Function in the Paper</w:t>
            </w:r>
          </w:p>
        </w:tc>
      </w:tr>
      <w:tr w:rsidR="005063D9" w:rsidRPr="005063D9" w14:paraId="33EA4088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E375A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705E53A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Phenotyping</w:t>
            </w:r>
          </w:p>
        </w:tc>
        <w:tc>
          <w:tcPr>
            <w:tcW w:w="0" w:type="auto"/>
            <w:vAlign w:val="center"/>
            <w:hideMark/>
          </w:tcPr>
          <w:p w14:paraId="6DBB42D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measure the mind through digital behaviour?</w:t>
            </w:r>
          </w:p>
        </w:tc>
        <w:tc>
          <w:tcPr>
            <w:tcW w:w="0" w:type="auto"/>
            <w:vAlign w:val="center"/>
            <w:hideMark/>
          </w:tcPr>
          <w:p w14:paraId="43FF4B8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Captures cognition, emotion, and memory in data form.</w:t>
            </w:r>
          </w:p>
        </w:tc>
        <w:tc>
          <w:tcPr>
            <w:tcW w:w="0" w:type="auto"/>
            <w:vAlign w:val="center"/>
            <w:hideMark/>
          </w:tcPr>
          <w:p w14:paraId="340160C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Measurement &amp; detection.</w:t>
            </w:r>
          </w:p>
        </w:tc>
      </w:tr>
      <w:tr w:rsidR="005063D9" w:rsidRPr="005063D9" w14:paraId="1876FBB9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A688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Intervention</w:t>
            </w:r>
          </w:p>
        </w:tc>
        <w:tc>
          <w:tcPr>
            <w:tcW w:w="0" w:type="auto"/>
            <w:vAlign w:val="center"/>
            <w:hideMark/>
          </w:tcPr>
          <w:p w14:paraId="564851E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Therapeutics</w:t>
            </w:r>
          </w:p>
        </w:tc>
        <w:tc>
          <w:tcPr>
            <w:tcW w:w="0" w:type="auto"/>
            <w:vAlign w:val="center"/>
            <w:hideMark/>
          </w:tcPr>
          <w:p w14:paraId="2F7A6BAD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treat or enhance mental and cognitive functions using digital tools?</w:t>
            </w:r>
          </w:p>
        </w:tc>
        <w:tc>
          <w:tcPr>
            <w:tcW w:w="0" w:type="auto"/>
            <w:vAlign w:val="center"/>
            <w:hideMark/>
          </w:tcPr>
          <w:p w14:paraId="0681892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Modifies and strengthens cognitive processes.</w:t>
            </w:r>
          </w:p>
        </w:tc>
        <w:tc>
          <w:tcPr>
            <w:tcW w:w="0" w:type="auto"/>
            <w:vAlign w:val="center"/>
            <w:hideMark/>
          </w:tcPr>
          <w:p w14:paraId="3276F3E2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Therapy &amp; management.</w:t>
            </w:r>
          </w:p>
        </w:tc>
      </w:tr>
      <w:tr w:rsidR="005063D9" w:rsidRPr="005063D9" w14:paraId="114E7724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39AC9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A75DBCC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Neurotechnology</w:t>
            </w:r>
          </w:p>
        </w:tc>
        <w:tc>
          <w:tcPr>
            <w:tcW w:w="0" w:type="auto"/>
            <w:vAlign w:val="center"/>
            <w:hideMark/>
          </w:tcPr>
          <w:p w14:paraId="267E059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connect directly with neural systems?</w:t>
            </w:r>
          </w:p>
        </w:tc>
        <w:tc>
          <w:tcPr>
            <w:tcW w:w="0" w:type="auto"/>
            <w:vAlign w:val="center"/>
            <w:hideMark/>
          </w:tcPr>
          <w:p w14:paraId="4BA93B96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Engages with the biological substrate of cognition.</w:t>
            </w:r>
          </w:p>
        </w:tc>
        <w:tc>
          <w:tcPr>
            <w:tcW w:w="0" w:type="auto"/>
            <w:vAlign w:val="center"/>
            <w:hideMark/>
          </w:tcPr>
          <w:p w14:paraId="365FB92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Augmentation &amp; integration.</w:t>
            </w:r>
          </w:p>
        </w:tc>
      </w:tr>
    </w:tbl>
    <w:p w14:paraId="2DF6AA12" w14:textId="0A3D6A7C" w:rsidR="005063D9" w:rsidRDefault="005063D9"/>
    <w:p w14:paraId="712AD8AE" w14:textId="13C78FE9" w:rsidR="005063D9" w:rsidRDefault="005063D9"/>
    <w:p w14:paraId="784329C1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Cognition: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captures cognitive expression (e.g., attention patterns);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trains cognition (e.g., via adaptive games); Neurotech enhances cognition (e.g., via brain stimulation or BCIs).</w:t>
      </w:r>
    </w:p>
    <w:p w14:paraId="43A5C028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Emotion: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detects emotional fluctuation (e.g., tone of voice, sentiment);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stabilises or regulates emotion (e.g., CBT for anxiety); Neurotech modulates emotional circuits (e.g., amygdala or limbic stimulation).</w:t>
      </w:r>
    </w:p>
    <w:p w14:paraId="48C99FDD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lastRenderedPageBreak/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Memory: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identifies behavioural traces of memory lapses (e.g., app-switching or navigation errors);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reinforces memory (e.g., spaced-retrieval training); Neurotech reactivates or restores memory (e.g., hippocampal implants).</w:t>
      </w:r>
    </w:p>
    <w:p w14:paraId="69E8AB7E" w14:textId="5557B588" w:rsidR="005063D9" w:rsidRDefault="005063D9"/>
    <w:p w14:paraId="20DBFBCC" w14:textId="7C805978" w:rsidR="00633205" w:rsidRDefault="00633205">
      <w:r>
        <w:t>To propose a sustainable, ethically grounded integration of Digital Phenotyping, Digital Therapeutics, and Neurotechnology that enhances cognitive resilience, emotional regulation, and educational adaptability — without eroding cognitive autonomy.</w:t>
      </w:r>
    </w:p>
    <w:sectPr w:rsidR="006332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85B6A"/>
    <w:multiLevelType w:val="multilevel"/>
    <w:tmpl w:val="864A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6FE7"/>
    <w:multiLevelType w:val="multilevel"/>
    <w:tmpl w:val="6262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14B6F"/>
    <w:multiLevelType w:val="multilevel"/>
    <w:tmpl w:val="3DDA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93719"/>
    <w:multiLevelType w:val="multilevel"/>
    <w:tmpl w:val="0FD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4772E"/>
    <w:multiLevelType w:val="multilevel"/>
    <w:tmpl w:val="D762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9069D"/>
    <w:multiLevelType w:val="multilevel"/>
    <w:tmpl w:val="B1D6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919D0"/>
    <w:multiLevelType w:val="multilevel"/>
    <w:tmpl w:val="DAB2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71DE4"/>
    <w:multiLevelType w:val="multilevel"/>
    <w:tmpl w:val="DF16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B33A8"/>
    <w:multiLevelType w:val="multilevel"/>
    <w:tmpl w:val="C03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64116F"/>
    <w:multiLevelType w:val="multilevel"/>
    <w:tmpl w:val="199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3"/>
  </w:num>
  <w:num w:numId="5">
    <w:abstractNumId w:val="0"/>
  </w:num>
  <w:num w:numId="6">
    <w:abstractNumId w:val="8"/>
  </w:num>
  <w:num w:numId="7">
    <w:abstractNumId w:val="7"/>
  </w:num>
  <w:num w:numId="8">
    <w:abstractNumId w:val="5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6B0"/>
    <w:rsid w:val="001325C6"/>
    <w:rsid w:val="00366421"/>
    <w:rsid w:val="005063D9"/>
    <w:rsid w:val="00633205"/>
    <w:rsid w:val="007816B0"/>
    <w:rsid w:val="00C5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A7C75"/>
  <w15:chartTrackingRefBased/>
  <w15:docId w15:val="{B319F615-E033-40C0-AAFF-A07FC37B8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325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1325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57A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325C6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1325C6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132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Emphasis">
    <w:name w:val="Emphasis"/>
    <w:basedOn w:val="DefaultParagraphFont"/>
    <w:uiPriority w:val="20"/>
    <w:qFormat/>
    <w:rsid w:val="001325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7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18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1270</Words>
  <Characters>7245</Characters>
  <Application>Microsoft Office Word</Application>
  <DocSecurity>0</DocSecurity>
  <Lines>60</Lines>
  <Paragraphs>16</Paragraphs>
  <ScaleCrop>false</ScaleCrop>
  <Company/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Mhedziso, Tinotenda, (Mr) (s227284240)</cp:lastModifiedBy>
  <cp:revision>5</cp:revision>
  <dcterms:created xsi:type="dcterms:W3CDTF">2025-10-03T16:33:00Z</dcterms:created>
  <dcterms:modified xsi:type="dcterms:W3CDTF">2025-10-08T16:35:00Z</dcterms:modified>
</cp:coreProperties>
</file>