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64" w:lineRule="auto"/>
        <w:jc w:val="left"/>
        <w:keepNext/>
      </w:pPr>
      <w:r>
        <w:rPr>
          <w:rFonts w:ascii="Malgun Gothic" w:hAnsi="Malgun Gothic" w:eastAsia="Malgun Gothic" w:cs="Malgun Gothic"/>
          <w:b/>
          <w:color w:val="2E74B5"/>
          <w:sz w:val="20"/>
        </w:rPr>
        <w:t>A2 정답셋 · FINAL TECHNICAL NOTE</w:t>
      </w:r>
    </w:p>
    <w:p>
      <w:pPr>
        <w:spacing w:before="0" w:after="120" w:line="240" w:lineRule="auto"/>
        <w:jc w:val="left"/>
        <w:keepNext/>
      </w:pPr>
      <w:r>
        <w:rPr>
          <w:rFonts w:ascii="Malgun Gothic" w:hAnsi="Malgun Gothic" w:eastAsia="Malgun Gothic" w:cs="Malgun Gothic"/>
          <w:b/>
          <w:color w:val="183B56"/>
          <w:sz w:val="48"/>
        </w:rPr>
        <w:t>휴머노이드 특허 Gold v1.1</w:t>
        <w:br/>
        <w:t>최종 선별 기준서</w:t>
      </w:r>
    </w:p>
    <w:p>
      <w:pPr>
        <w:spacing w:before="0" w:after="280" w:line="264" w:lineRule="auto"/>
        <w:jc w:val="left"/>
        <w:keepNext/>
      </w:pPr>
      <w:r>
        <w:rPr>
          <w:rFonts w:ascii="Malgun Gothic" w:hAnsi="Malgun Gothic" w:eastAsia="Malgun Gothic" w:cs="Malgun Gothic"/>
          <w:color w:val="5F6B76"/>
          <w:sz w:val="25"/>
        </w:rPr>
        <w:t>패밀리 대표 3,323건 · 원본 67열 복원 · 최종 유효특허 1,246건</w:t>
      </w:r>
    </w:p>
    <w:p>
      <w:pPr>
        <w:spacing w:before="0" w:after="60" w:line="252" w:lineRule="auto"/>
      </w:pPr>
      <w:r>
        <w:rPr>
          <w:rFonts w:ascii="Malgun Gothic" w:hAnsi="Malgun Gothic" w:eastAsia="Malgun Gothic" w:cs="Malgun Gothic"/>
          <w:b/>
          <w:color w:val="183B56"/>
          <w:sz w:val="21"/>
        </w:rPr>
        <w:t xml:space="preserve">문서 목적  </w:t>
      </w:r>
      <w:r>
        <w:rPr>
          <w:rFonts w:ascii="Malgun Gothic" w:hAnsi="Malgun Gothic" w:eastAsia="Malgun Gothic" w:cs="Malgun Gothic"/>
          <w:color w:val="24313D"/>
          <w:sz w:val="21"/>
        </w:rPr>
        <w:t>보고서에 그대로 인용할 수 있는 유효특허 포함·제외 기준과 데이터 구축 절차의 확정본</w:t>
      </w:r>
    </w:p>
    <w:p>
      <w:pPr>
        <w:spacing w:before="0" w:after="60" w:line="252" w:lineRule="auto"/>
      </w:pPr>
      <w:r>
        <w:rPr>
          <w:rFonts w:ascii="Malgun Gothic" w:hAnsi="Malgun Gothic" w:eastAsia="Malgun Gothic" w:cs="Malgun Gothic"/>
          <w:b/>
          <w:color w:val="183B56"/>
          <w:sz w:val="21"/>
        </w:rPr>
        <w:t xml:space="preserve">판정 단위  </w:t>
      </w:r>
      <w:r>
        <w:rPr>
          <w:rFonts w:ascii="Malgun Gothic" w:hAnsi="Malgun Gothic" w:eastAsia="Malgun Gothic" w:cs="Malgun Gothic"/>
          <w:color w:val="24313D"/>
          <w:sz w:val="21"/>
        </w:rPr>
        <w:t>WIPS 패밀리 대표 1건</w:t>
      </w:r>
    </w:p>
    <w:p>
      <w:pPr>
        <w:spacing w:before="0" w:after="60" w:line="252" w:lineRule="auto"/>
      </w:pPr>
      <w:r>
        <w:rPr>
          <w:rFonts w:ascii="Malgun Gothic" w:hAnsi="Malgun Gothic" w:eastAsia="Malgun Gothic" w:cs="Malgun Gothic"/>
          <w:b/>
          <w:color w:val="183B56"/>
          <w:sz w:val="21"/>
        </w:rPr>
        <w:t xml:space="preserve">최종 산출물  </w:t>
      </w:r>
      <w:r>
        <w:rPr>
          <w:rFonts w:ascii="Malgun Gothic" w:hAnsi="Malgun Gothic" w:eastAsia="Malgun Gothic" w:cs="Malgun Gothic"/>
          <w:color w:val="24313D"/>
          <w:sz w:val="21"/>
        </w:rPr>
        <w:t>원본 67개 열 + gold_label + 기술분류 + 판정이유 = 70개 열</w:t>
      </w:r>
    </w:p>
    <w:p>
      <w:pPr>
        <w:spacing w:before="0" w:after="60" w:line="252" w:lineRule="auto"/>
      </w:pPr>
      <w:r>
        <w:rPr>
          <w:rFonts w:ascii="Malgun Gothic" w:hAnsi="Malgun Gothic" w:eastAsia="Malgun Gothic" w:cs="Malgun Gothic"/>
          <w:b/>
          <w:color w:val="183B56"/>
          <w:sz w:val="21"/>
        </w:rPr>
        <w:t xml:space="preserve">기준 상태  </w:t>
      </w:r>
      <w:r>
        <w:rPr>
          <w:rFonts w:ascii="Malgun Gothic" w:hAnsi="Malgun Gothic" w:eastAsia="Malgun Gothic" w:cs="Malgun Gothic"/>
          <w:color w:val="24313D"/>
          <w:sz w:val="21"/>
        </w:rPr>
        <w:t>gold v1.1 / 도메인 소유자 확정 규칙 12개 / 2026.07.24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  <w:insideH w:val="single" w:sz="4" w:space="0" w:color="B4C6E7"/>
              <w:insideV w:val="single" w:sz="4" w:space="0" w:color="B4C6E7"/>
            </w:tcBorders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7"/>
              </w:rPr>
              <w:t>원자료</w:t>
            </w:r>
          </w:p>
        </w:tc>
        <w:tc>
          <w:tcPr>
            <w:tcW w:type="dxa" w:w="23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  <w:insideH w:val="single" w:sz="4" w:space="0" w:color="B4C6E7"/>
              <w:insideV w:val="single" w:sz="4" w:space="0" w:color="B4C6E7"/>
            </w:tcBorders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7"/>
              </w:rPr>
              <w:t>패밀리 대표</w:t>
            </w:r>
          </w:p>
        </w:tc>
        <w:tc>
          <w:tcPr>
            <w:tcW w:type="dxa" w:w="23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  <w:insideH w:val="single" w:sz="4" w:space="0" w:color="B4C6E7"/>
              <w:insideV w:val="single" w:sz="4" w:space="0" w:color="B4C6E7"/>
            </w:tcBorders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7"/>
              </w:rPr>
              <w:t>gold_label=1</w:t>
            </w:r>
          </w:p>
        </w:tc>
        <w:tc>
          <w:tcPr>
            <w:tcW w:type="dxa" w:w="23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  <w:insideH w:val="single" w:sz="4" w:space="0" w:color="B4C6E7"/>
              <w:insideV w:val="single" w:sz="4" w:space="0" w:color="B4C6E7"/>
            </w:tcBorders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7"/>
              </w:rPr>
              <w:t>gold_label=0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  <w:insideH w:val="single" w:sz="4" w:space="0" w:color="B4C6E7"/>
              <w:insideV w:val="single" w:sz="4" w:space="0" w:color="B4C6E7"/>
            </w:tcBorders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30"/>
              </w:rPr>
              <w:t>3,757건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  <w:insideH w:val="single" w:sz="4" w:space="0" w:color="B4C6E7"/>
              <w:insideV w:val="single" w:sz="4" w:space="0" w:color="B4C6E7"/>
            </w:tcBorders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30"/>
              </w:rPr>
              <w:t>3,323건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  <w:insideH w:val="single" w:sz="4" w:space="0" w:color="B4C6E7"/>
              <w:insideV w:val="single" w:sz="4" w:space="0" w:color="B4C6E7"/>
            </w:tcBorders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6B4F"/>
                <w:sz w:val="30"/>
              </w:rPr>
              <w:t>1,246건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  <w:insideH w:val="single" w:sz="4" w:space="0" w:color="B4C6E7"/>
              <w:insideV w:val="single" w:sz="4" w:space="0" w:color="B4C6E7"/>
            </w:tcBorders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5F6B76"/>
                <w:sz w:val="30"/>
              </w:rPr>
              <w:t>2,077건</w:t>
            </w:r>
          </w:p>
        </w:tc>
      </w:tr>
    </w:tbl>
    <w:p>
      <w:pPr>
        <w:spacing w:after="160"/>
      </w:pPr>
    </w:p>
    <w:p>
      <w:pPr>
        <w:spacing w:before="100" w:after="200" w:line="276" w:lineRule="auto"/>
        <w:ind w:left="173" w:right="86"/>
        <w:shd w:fill="EAF5EF" w:val="clear"/>
        <w:pBdr>
          <w:left w:val="single" w:sz="20" w:space="8" w:color="2E6B4F"/>
        </w:pBdr>
      </w:pPr>
      <w:r>
        <w:rPr>
          <w:rFonts w:ascii="Malgun Gothic" w:hAnsi="Malgun Gothic" w:eastAsia="Malgun Gothic" w:cs="Malgun Gothic"/>
          <w:b/>
          <w:color w:val="2E6B4F"/>
          <w:sz w:val="21"/>
        </w:rPr>
        <w:t xml:space="preserve">최종 결론  </w:t>
      </w:r>
      <w:r>
        <w:rPr>
          <w:rFonts w:ascii="Malgun Gothic" w:hAnsi="Malgun Gothic" w:eastAsia="Malgun Gothic" w:cs="Malgun Gothic"/>
          <w:color w:val="24313D"/>
          <w:sz w:val="21"/>
        </w:rPr>
        <w:t>동일 패밀리를 대표 1건으로 통합한 3,323건 가운데, 휴머노이드에 직접 해당하거나 H/W·지능·데이터 가치사슬에서 휴머노이드로 이전 가능한 코어 기술 1,246건을 gold_label=1로 확정하였다. 특정 공정·제품·응용에 종속된 2,077건은 gold_label=0으로 제외하였다.</w:t>
      </w:r>
    </w:p>
    <w:p>
      <w:pPr>
        <w:spacing w:before="100" w:after="200" w:line="276" w:lineRule="auto"/>
        <w:ind w:left="173" w:right="86"/>
        <w:shd w:fill="FFF7E3" w:val="clear"/>
        <w:pBdr>
          <w:left w:val="single" w:sz="20" w:space="8" w:color="8A6514"/>
        </w:pBdr>
      </w:pPr>
      <w:r>
        <w:rPr>
          <w:rFonts w:ascii="Malgun Gothic" w:hAnsi="Malgun Gothic" w:eastAsia="Malgun Gothic" w:cs="Malgun Gothic"/>
          <w:b/>
          <w:color w:val="8A6514"/>
          <w:sz w:val="21"/>
        </w:rPr>
        <w:t xml:space="preserve">용어 주의  </w:t>
      </w:r>
      <w:r>
        <w:rPr>
          <w:rFonts w:ascii="Malgun Gothic" w:hAnsi="Malgun Gothic" w:eastAsia="Malgun Gothic" w:cs="Malgun Gothic"/>
          <w:color w:val="24313D"/>
          <w:sz w:val="21"/>
        </w:rPr>
        <w:t>이 문서의 ‘유효특허’는 본 연구의 기술 관련성 기준을 충족한 분석대상 특허를 뜻한다. 특허권의 법률적 존속·무효 여부나 권리범위의 유효성을 판단한 것은 아니다.</w:t>
      </w:r>
    </w:p>
    <w:p>
      <w:pPr>
        <w:pStyle w:val="Heading1"/>
        <w:keepNext/>
      </w:pPr>
      <w:r>
        <w:t>1. Gold v1.1의 구성과 확정 결과</w:t>
      </w:r>
    </w:p>
    <w:p>
      <w:pPr>
        <w:spacing w:before="0" w:after="120" w:line="264" w:lineRule="auto"/>
        <w:jc w:val="left"/>
      </w:pPr>
      <w:r>
        <w:rPr>
          <w:rFonts w:ascii="Malgun Gothic" w:hAnsi="Malgun Gothic" w:eastAsia="Malgun Gothic" w:cs="Malgun Gothic"/>
          <w:color w:val="24313D"/>
        </w:rPr>
        <w:t>Gold v1.1은 원자료의 서지·초록·청구항·패밀리·인용·분류·AI 요약 등 67개 열을 그대로 보존하면서, 분석용 라벨 3개 열을 뒤에 추가한 패밀리 대표 데이터셋이다. 원본 행을 임의 축약하거나 대표 필드를 재작성하지 않았으며, 출원번호를 주 키로 원자료와 결합하고 WIPS패밀리 ID로 교차검증하였다.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5560"/>
      </w:tblGrid>
      <w:tr>
        <w:trPr>
          <w:tblHeader w:val="true"/>
        </w:trPr>
        <w:tc>
          <w:tcPr>
            <w:tcW w:type="dxa" w:w="19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항목</w:t>
            </w:r>
          </w:p>
        </w:tc>
        <w:tc>
          <w:tcPr>
            <w:tcW w:type="dxa" w:w="19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확정값</w:t>
            </w:r>
          </w:p>
        </w:tc>
        <w:tc>
          <w:tcPr>
            <w:tcW w:type="dxa" w:w="556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원자료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3,757건 × 67열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휴머노이드특허_Raw.xlsx의 전체 후보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패밀리 대표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3,323건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동일 WIPS패밀리 중복 제거 후 분석 단위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gold_label=1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1,246건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최종 유효특허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gold_label=0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2,077건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최종 제외특허·대조군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최종 스키마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3,323건 × 70열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원본 67열 + gold_label·기술분류·판정이유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160" w:line="252" w:lineRule="auto"/>
        <w:jc w:val="left"/>
      </w:pPr>
      <w:r>
        <w:rPr>
          <w:rFonts w:ascii="Malgun Gothic" w:hAnsi="Malgun Gothic" w:eastAsia="Malgun Gothic" w:cs="Malgun Gothic"/>
          <w:color w:val="5F6B76"/>
          <w:sz w:val="17"/>
        </w:rPr>
        <w:t>검증: 최종 파일 재개방 후 행 3,323건, 열 70개, 양성 1,246건, 음성 2,077건, 고유 패밀리 3,323개, 원본 67열 값 불일치 0건.</w:t>
      </w:r>
    </w:p>
    <w:p>
      <w:pPr>
        <w:pStyle w:val="Heading2"/>
        <w:keepNext/>
      </w:pPr>
      <w:r>
        <w:t>1.1 v1에서 v1.1로의 최종 조정</w:t>
      </w:r>
    </w:p>
    <w:p>
      <w:pPr>
        <w:spacing w:before="0" w:after="120" w:line="264" w:lineRule="auto"/>
        <w:jc w:val="left"/>
      </w:pPr>
      <w:r>
        <w:rPr>
          <w:rFonts w:ascii="Malgun Gothic" w:hAnsi="Malgun Gothic" w:eastAsia="Malgun Gothic" w:cs="Malgun Gothic"/>
          <w:color w:val="24313D"/>
        </w:rPr>
        <w:t>1차 판정의 양성 1,345건을 출발점으로 사례매핑과 확정 경계 규칙을 재적용하였다. 산업용 주변기술 106건과 오탐 어휘 5건을 제외하고, 휴머노이드 OEM·직접 플랫폼 및 사례매핑 구제 대상 12건을 포함하여 1,246건으로 확정하였다.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000"/>
        <w:gridCol w:w="5260"/>
        <w:gridCol w:w="1600"/>
      </w:tblGrid>
      <w:tr>
        <w:trPr>
          <w:tblHeader w:val="true"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조정</w:t>
            </w:r>
          </w:p>
        </w:tc>
        <w:tc>
          <w:tcPr>
            <w:tcW w:type="dxa" w:w="1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건수</w:t>
            </w:r>
          </w:p>
        </w:tc>
        <w:tc>
          <w:tcPr>
            <w:tcW w:type="dxa" w:w="52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내용</w:t>
            </w:r>
          </w:p>
        </w:tc>
        <w:tc>
          <w:tcPr>
            <w:tcW w:type="dxa" w:w="1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누적 양성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초기 양성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1,345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1차 agentic 판정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1,345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제외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-106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일반제어·진동·경로·측정·교시UI·특정 공정 등 산업용 주변기술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1,239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제외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-5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밸런서·NC 등 오탐 사전 대상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1,234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구제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+12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사례매핑 T1/T2 및 OEM·직접 플랫폼 원칙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1,246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pStyle w:val="Heading1"/>
        <w:keepNext/>
      </w:pPr>
      <w:r>
        <w:t>2. 선별 절차와 의사결정 순서</w:t>
      </w:r>
    </w:p>
    <w:p>
      <w:pPr>
        <w:spacing w:before="0" w:after="120" w:line="264" w:lineRule="auto"/>
        <w:jc w:val="left"/>
      </w:pPr>
      <w:r>
        <w:rPr>
          <w:rFonts w:ascii="Malgun Gothic" w:hAnsi="Malgun Gothic" w:eastAsia="Malgun Gothic" w:cs="Malgun Gothic"/>
          <w:color w:val="24313D"/>
        </w:rPr>
        <w:t>판정은 출원인 화이트리스트나 단순 키워드 점수로 자동 결정하지 않았다. 제목·초록·대표청구항·독립청구항·AI 요약을 함께 읽고, 청구 대상의 기술적 본체와 용도 전용성을 우선 판단하였다.</w:t>
      </w:r>
    </w:p>
    <w:p>
      <w:pPr>
        <w:spacing w:before="0" w:after="140" w:line="280" w:lineRule="auto"/>
        <w:jc w:val="left"/>
        <w:numPr>
          <w:ilvl w:val="0"/>
          <w:numId w:val="11"/>
        </w:numPr>
      </w:pPr>
      <w:r>
        <w:rPr>
          <w:rFonts w:ascii="Malgun Gothic" w:hAnsi="Malgun Gothic" w:eastAsia="Malgun Gothic" w:cs="Malgun Gothic"/>
          <w:color w:val="24313D"/>
        </w:rPr>
        <w:t>패밀리 정리 — WIPS패밀리 ID 기준으로 동일 발명을 대표 1건으로 통합한다.</w:t>
      </w:r>
    </w:p>
    <w:p>
      <w:pPr>
        <w:spacing w:before="0" w:after="140" w:line="280" w:lineRule="auto"/>
        <w:jc w:val="left"/>
        <w:numPr>
          <w:ilvl w:val="0"/>
          <w:numId w:val="11"/>
        </w:numPr>
      </w:pPr>
      <w:r>
        <w:rPr>
          <w:rFonts w:ascii="Malgun Gothic" w:hAnsi="Malgun Gothic" w:eastAsia="Malgun Gothic" w:cs="Malgun Gothic"/>
          <w:color w:val="24313D"/>
        </w:rPr>
        <w:t>직접성 확인 — 휴머노이드·이족·인간형·전신제어·완제품 플랫폼을 직접 청구하면 포함한다.</w:t>
      </w:r>
    </w:p>
    <w:p>
      <w:pPr>
        <w:spacing w:before="0" w:after="140" w:line="280" w:lineRule="auto"/>
        <w:jc w:val="left"/>
        <w:numPr>
          <w:ilvl w:val="0"/>
          <w:numId w:val="11"/>
        </w:numPr>
      </w:pPr>
      <w:r>
        <w:rPr>
          <w:rFonts w:ascii="Malgun Gothic" w:hAnsi="Malgun Gothic" w:eastAsia="Malgun Gothic" w:cs="Malgun Gothic"/>
          <w:color w:val="24313D"/>
        </w:rPr>
        <w:t>이전가능성 확인 — 휴머노이드 전용이 아니어도 H/W·지능·데이터 축의 코어 기술이면 포함한다.</w:t>
      </w:r>
    </w:p>
    <w:p>
      <w:pPr>
        <w:spacing w:before="0" w:after="140" w:line="280" w:lineRule="auto"/>
        <w:jc w:val="left"/>
        <w:numPr>
          <w:ilvl w:val="0"/>
          <w:numId w:val="11"/>
        </w:numPr>
      </w:pPr>
      <w:r>
        <w:rPr>
          <w:rFonts w:ascii="Malgun Gothic" w:hAnsi="Malgun Gothic" w:eastAsia="Malgun Gothic" w:cs="Malgun Gothic"/>
          <w:color w:val="24313D"/>
        </w:rPr>
        <w:t>용도 전용성 확인 — 특정 공정·설비·제품 목적이 필수 한정요소이면 제외한다.</w:t>
      </w:r>
    </w:p>
    <w:p>
      <w:pPr>
        <w:spacing w:before="0" w:after="140" w:line="280" w:lineRule="auto"/>
        <w:jc w:val="left"/>
        <w:numPr>
          <w:ilvl w:val="0"/>
          <w:numId w:val="11"/>
        </w:numPr>
      </w:pPr>
      <w:r>
        <w:rPr>
          <w:rFonts w:ascii="Malgun Gothic" w:hAnsi="Malgun Gothic" w:eastAsia="Malgun Gothic" w:cs="Malgun Gothic"/>
          <w:color w:val="24313D"/>
        </w:rPr>
        <w:t>경계 규칙 적용 — 4족, 물류 학습, 흡착, 외골격, 안전, 시뮬레이션 등 12개 확정 규칙을 적용한다.</w:t>
      </w:r>
    </w:p>
    <w:p>
      <w:pPr>
        <w:spacing w:before="0" w:after="140" w:line="280" w:lineRule="auto"/>
        <w:jc w:val="left"/>
        <w:numPr>
          <w:ilvl w:val="0"/>
          <w:numId w:val="11"/>
        </w:numPr>
      </w:pPr>
      <w:r>
        <w:rPr>
          <w:rFonts w:ascii="Malgun Gothic" w:hAnsi="Malgun Gothic" w:eastAsia="Malgun Gothic" w:cs="Malgun Gothic"/>
          <w:color w:val="24313D"/>
        </w:rPr>
        <w:t>최종 기록 — gold_label, H1–H8 기술분류, 한국어 판정이유를 함께 남긴다.</w:t>
      </w:r>
    </w:p>
    <w:p>
      <w:pPr>
        <w:spacing w:before="100" w:after="200" w:line="276" w:lineRule="auto"/>
        <w:ind w:left="173" w:right="86"/>
        <w:shd w:fill="EAF2F8" w:val="clear"/>
        <w:pBdr>
          <w:left w:val="single" w:sz="20" w:space="8" w:color="2E74B5"/>
        </w:pBdr>
      </w:pPr>
      <w:r>
        <w:rPr>
          <w:rFonts w:ascii="Malgun Gothic" w:hAnsi="Malgun Gothic" w:eastAsia="Malgun Gothic" w:cs="Malgun Gothic"/>
          <w:b/>
          <w:color w:val="2E74B5"/>
          <w:sz w:val="21"/>
        </w:rPr>
        <w:t xml:space="preserve">핵심 판정식  </w:t>
      </w:r>
      <w:r>
        <w:rPr>
          <w:rFonts w:ascii="Malgun Gothic" w:hAnsi="Malgun Gothic" w:eastAsia="Malgun Gothic" w:cs="Malgun Gothic"/>
          <w:color w:val="24313D"/>
          <w:sz w:val="21"/>
        </w:rPr>
        <w:t>‘누가 출원했는가’보다 ‘무엇을 청구했는가’를 우선한다. 응용례에 휴머노이드가 등장하는 것만으로는 포함하지 않고, 반대로 산업용·수술·외골격 분야의 특허라도 범용 코어 기술 자체를 청구하면 구제한다.</w:t>
      </w:r>
    </w:p>
    <w:p>
      <w:pPr>
        <w:pStyle w:val="Heading1"/>
        <w:keepNext/>
      </w:pPr>
      <w:r>
        <w:t>3. 기준서의 상위 뼈대: KIMM 가치사슬 3축</w:t>
      </w:r>
    </w:p>
    <w:p>
      <w:pPr>
        <w:spacing w:before="0" w:after="120" w:line="264" w:lineRule="auto"/>
        <w:jc w:val="left"/>
      </w:pPr>
      <w:r>
        <w:rPr>
          <w:rFonts w:ascii="Malgun Gothic" w:hAnsi="Malgun Gothic" w:eastAsia="Malgun Gothic" w:cs="Malgun Gothic"/>
          <w:color w:val="24313D"/>
        </w:rPr>
        <w:t>최종 포함 범위는 KIMM 기계기술정책 No.122의 휴머노이드 가치사슬인 H/W·지능·데이터 3개 축에 앵커링하였다. H1–H8은 이 3축을 특허 판정에 사용할 수 있도록 기능 단위로 세분화한 체계다.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960"/>
        <w:gridCol w:w="4200"/>
      </w:tblGrid>
      <w:tr>
        <w:trPr>
          <w:tblHeader w:val="true"/>
        </w:trPr>
        <w:tc>
          <w:tcPr>
            <w:tcW w:type="dxa" w:w="12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3축</w:t>
            </w:r>
          </w:p>
        </w:tc>
        <w:tc>
          <w:tcPr>
            <w:tcW w:type="dxa" w:w="396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핵심 내용</w:t>
            </w:r>
          </w:p>
        </w:tc>
        <w:tc>
          <w:tcPr>
            <w:tcW w:type="dxa" w:w="42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Gold v1.1에서의 대응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H/W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액추에이터·감속기·제어시스템·센서·로봇손·배터리·열관리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H2 로봇손, H3 제어, H4 균형·보행, H5 구동계, H8 안전 센싱·제어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지능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VLA·E2E·RFM·SLAM·강화학습·AI칩·비전·제어 솔루션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H3 학습·제어, H6 로봇비전·VLA·모방학습, H8 인간협업 판단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데이터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시뮬레이터·Sim-to-Real·텔레오퍼레이션·시연/합성 데이터·미들웨어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H7 텔레옵·Sim-to-Real·데이터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pStyle w:val="Heading1"/>
        <w:keepNext/>
      </w:pPr>
      <w:r>
        <w:t>4. 최종 기술분류 H1–H8</w:t>
      </w:r>
    </w:p>
    <w:p>
      <w:pPr>
        <w:spacing w:before="0" w:after="120" w:line="264" w:lineRule="auto"/>
        <w:jc w:val="left"/>
      </w:pPr>
      <w:r>
        <w:rPr>
          <w:rFonts w:ascii="Malgun Gothic" w:hAnsi="Malgun Gothic" w:eastAsia="Malgun Gothic" w:cs="Malgun Gothic"/>
          <w:color w:val="24313D"/>
        </w:rPr>
        <w:t>gold_label=1인 특허에는 아래 H1–H8을 복수 부여한다. 하나의 특허가 로봇손 기구와 파지학습을 함께 청구하면 ‘H2; H3’처럼 기록한다. 따라서 분류별 건수 합계는 1,246건보다 클 수 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200"/>
        <w:gridCol w:w="1300"/>
        <w:gridCol w:w="4060"/>
        <w:gridCol w:w="1000"/>
      </w:tblGrid>
      <w:tr>
        <w:trPr>
          <w:tblHeader w:val="true"/>
        </w:trPr>
        <w:tc>
          <w:tcPr>
            <w:tcW w:type="dxa" w:w="8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코드</w:t>
            </w:r>
          </w:p>
        </w:tc>
        <w:tc>
          <w:tcPr>
            <w:tcW w:type="dxa" w:w="22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분류</w:t>
            </w:r>
          </w:p>
        </w:tc>
        <w:tc>
          <w:tcPr>
            <w:tcW w:type="dxa" w:w="13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3축</w:t>
            </w:r>
          </w:p>
        </w:tc>
        <w:tc>
          <w:tcPr>
            <w:tcW w:type="dxa" w:w="406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포함 범위</w:t>
            </w:r>
          </w:p>
        </w:tc>
        <w:tc>
          <w:tcPr>
            <w:tcW w:type="dxa" w:w="10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건수*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직접 휴머노이드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통합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휴머노이드·이족·인간형 본체, 전신제어, 완제품 플랫폼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134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로봇손·파지·촉각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H/W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다지 손, 그리퍼, 파지, 촉각·힘/토크 센싱, 인핸드 조작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486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매니퓰레이션 학습·제어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H/W·지능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모션 플래닝, 힘·임피던스 제어, 조작 스킬 학습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623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균형·보행·자세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H/W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ZMP, 전신동역학, 보행, 자세, 낙상 예측·복구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415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액추에이터·감속기·관절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H/W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QDD·SEA·VSA, 백드라이버블 관절, 감속기, 경량 구동계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332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로봇비전·VLA·모방학습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지능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로봇 비전, VLA, LfD, 강화학습 조작, 파지용 인식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90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텔레옵·Sim-to-Real·데이터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데이터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원격조작, 시연·합성 데이터, 도메인 무작위화, Sim-to-Real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인간협업 안전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H/W·지능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충돌·접촉 감지, 힘·속도 제한, 인간 공존 환경 안전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171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160" w:line="252" w:lineRule="auto"/>
        <w:jc w:val="left"/>
      </w:pPr>
      <w:r>
        <w:rPr>
          <w:rFonts w:ascii="Malgun Gothic" w:hAnsi="Malgun Gothic" w:eastAsia="Malgun Gothic" w:cs="Malgun Gothic"/>
          <w:color w:val="5F6B76"/>
          <w:sz w:val="17"/>
        </w:rPr>
        <w:t>* 복수분류 기준. H1–H8 건수는 최종 엑셀의 기술분류 열을 기준으로 산출하며, gold_label=1인 1,246건 모두 최소 1개 이상의 H코드를 가진다.</w:t>
      </w:r>
    </w:p>
    <w:p>
      <w:pPr>
        <w:pStyle w:val="Heading2"/>
        <w:keepNext/>
      </w:pPr>
      <w:r>
        <w:t>4.1 직접 휴머노이드와 이전가능 코어의 관계</w:t>
      </w:r>
    </w:p>
    <w:p>
      <w:pPr>
        <w:spacing w:before="0" w:after="100" w:line="280" w:lineRule="auto"/>
        <w:jc w:val="left"/>
        <w:numPr>
          <w:ilvl w:val="0"/>
          <w:numId w:val="10"/>
        </w:numPr>
      </w:pPr>
      <w:r>
        <w:rPr>
          <w:rFonts w:ascii="Malgun Gothic" w:hAnsi="Malgun Gothic" w:eastAsia="Malgun Gothic" w:cs="Malgun Gothic"/>
          <w:color w:val="24313D"/>
        </w:rPr>
        <w:t>직접 휴머노이드: 휴머노이드·이족보행·인간형 전신, 본체·관절 구조, 전신제어, 낙상 대응 및 완제품 플랫폼을 포함한다.</w:t>
      </w:r>
    </w:p>
    <w:p>
      <w:pPr>
        <w:spacing w:before="0" w:after="100" w:line="280" w:lineRule="auto"/>
        <w:jc w:val="left"/>
        <w:numPr>
          <w:ilvl w:val="0"/>
          <w:numId w:val="10"/>
        </w:numPr>
      </w:pPr>
      <w:r>
        <w:rPr>
          <w:rFonts w:ascii="Malgun Gothic" w:hAnsi="Malgun Gothic" w:eastAsia="Malgun Gothic" w:cs="Malgun Gothic"/>
          <w:color w:val="24313D"/>
        </w:rPr>
        <w:t>이전가능 코어: 휴머노이드 전용 표현이 없어도 H2–H8의 기능을 청구하며 특정 공정에 종속되지 않으면 포함한다.</w:t>
      </w:r>
    </w:p>
    <w:p>
      <w:pPr>
        <w:spacing w:before="0" w:after="100" w:line="280" w:lineRule="auto"/>
        <w:jc w:val="left"/>
        <w:numPr>
          <w:ilvl w:val="0"/>
          <w:numId w:val="10"/>
        </w:numPr>
      </w:pPr>
      <w:r>
        <w:rPr>
          <w:rFonts w:ascii="Malgun Gothic" w:hAnsi="Malgun Gothic" w:eastAsia="Malgun Gothic" w:cs="Malgun Gothic"/>
          <w:color w:val="24313D"/>
        </w:rPr>
        <w:t>바퀴형 상반신 휴머노이드, 4족·다족·휠레그의 균형·구동 기술도 상용화 경로와 이족 이전성을 인정하여 포함할 수 있다.</w:t>
      </w:r>
    </w:p>
    <w:p>
      <w:pPr>
        <w:pStyle w:val="Heading1"/>
        <w:keepNext/>
      </w:pPr>
      <w:r>
        <w:t>5. 포함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00"/>
        <w:gridCol w:w="6360"/>
      </w:tblGrid>
      <w:tr>
        <w:trPr>
          <w:tblHeader w:val="true"/>
        </w:trPr>
        <w:tc>
          <w:tcPr>
            <w:tcW w:type="dxa" w:w="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코드</w:t>
            </w:r>
          </w:p>
        </w:tc>
        <w:tc>
          <w:tcPr>
            <w:tcW w:type="dxa" w:w="21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포함 축</w:t>
            </w:r>
          </w:p>
        </w:tc>
        <w:tc>
          <w:tcPr>
            <w:tcW w:type="dxa" w:w="63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판정 기준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I1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직접 폼팩터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휴머노이드·인간형·이족·전신제어·완제품 플랫폼을 직접 청구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I2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조작·손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다지 손, 파지·촉각·힘 센싱, 범용 그리퍼 및 인핸드 조작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I3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학습·제어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다관절 조작 스킬, 모션 플래닝, 힘·임피던스·컴플라이언스 제어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I4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이동·균형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전신 동역학, ZMP, 보행·자세, 외란·슬립·낙상 대응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I5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구동계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QDD·SEA·VSA, 경량·고토크·백드라이버블 관절, 감속기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I6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지능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로봇 비전, VLA, 모방학습, 강화학습 조작, 파지·자세 인식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I7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데이터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텔레오퍼레이션, 시연 데이터 수집, 합성데이터, Sim-to-Real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I8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협업 안전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인간 공존 환경의 충돌·접촉·속도·거리·힘 제한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keepNext/>
      </w:pPr>
      <w:r>
        <w:t>6. 제외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00"/>
        <w:gridCol w:w="6360"/>
      </w:tblGrid>
      <w:tr>
        <w:trPr>
          <w:tblHeader w:val="true"/>
        </w:trPr>
        <w:tc>
          <w:tcPr>
            <w:tcW w:type="dxa" w:w="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코드</w:t>
            </w:r>
          </w:p>
        </w:tc>
        <w:tc>
          <w:tcPr>
            <w:tcW w:type="dxa" w:w="21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제외 유형</w:t>
            </w:r>
          </w:p>
        </w:tc>
        <w:tc>
          <w:tcPr>
            <w:tcW w:type="dxa" w:w="63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판정 기준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E1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산업 공정·주변기술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용접·도장·가공·웨이퍼·반도체 반송·SMT·교시UI·OLP·캘리브레이션 등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E2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수술·의료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수술 셋업·카테터·의료 연속체 등 의료 목적에 청구 범위가 묶인 기술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E3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외골격·재활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착용 보조·의지·의수·재활 자체가 목적이며 로봇 코어로 독립되지 않는 기술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E4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청소·잔디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바닥청소·잔디깎기·충전도킹 등 청소 로봇 전용 기능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E5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물류·반송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AGV·컨베이어·팔레타이징·분류 자원할당·물류 워크플로 전용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E6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완구·비실체 SW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완구·애니매트로닉 또는 로봇 실체가 없는 가상화·통신 서비스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E7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오탐 어휘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recycling, load balancing, gravity balancer, pedestrian, 가공물 pose 등 문맥 오인</w:t>
            </w:r>
          </w:p>
        </w:tc>
      </w:tr>
    </w:tbl>
    <w:p>
      <w:pPr>
        <w:spacing w:before="0" w:after="80" w:line="240" w:lineRule="auto"/>
      </w:pPr>
    </w:p>
    <w:p>
      <w:pPr>
        <w:spacing w:before="100" w:after="200" w:line="276" w:lineRule="auto"/>
        <w:ind w:left="173" w:right="86"/>
        <w:shd w:fill="F4F8FB" w:val="clear"/>
        <w:pBdr>
          <w:left w:val="single" w:sz="20" w:space="8" w:color="2E74B5"/>
        </w:pBdr>
      </w:pPr>
      <w:r>
        <w:rPr>
          <w:rFonts w:ascii="Malgun Gothic" w:hAnsi="Malgun Gothic" w:eastAsia="Malgun Gothic" w:cs="Malgun Gothic"/>
          <w:b/>
          <w:color w:val="2E74B5"/>
          <w:sz w:val="21"/>
        </w:rPr>
        <w:t xml:space="preserve">예외 원칙  </w:t>
      </w:r>
      <w:r>
        <w:rPr>
          <w:rFonts w:ascii="Malgun Gothic" w:hAnsi="Malgun Gothic" w:eastAsia="Malgun Gothic" w:cs="Malgun Gothic"/>
          <w:color w:val="24313D"/>
          <w:sz w:val="21"/>
        </w:rPr>
        <w:t>제외 분야에 속하더라도 발명의 청구 대상이 범용 QDD 관절, 임피던스 제어, 로봇 학습 데이터 수집, 힘·촉각 기반 파지 등 독립적인 코어 기술이면 포함할 수 있다.</w:t>
      </w:r>
    </w:p>
    <w:p>
      <w:r>
        <w:br w:type="page"/>
      </w:r>
    </w:p>
    <w:p>
      <w:pPr>
        <w:pStyle w:val="Heading1"/>
        <w:keepNext/>
      </w:pPr>
      <w:r>
        <w:t>7. Gold v1.1 확정 경계 규칙 12개</w:t>
      </w:r>
    </w:p>
    <w:p>
      <w:pPr>
        <w:spacing w:before="100" w:after="200" w:line="276" w:lineRule="auto"/>
        <w:ind w:left="173" w:right="86"/>
        <w:shd w:fill="F4F8FB" w:val="clear"/>
        <w:pBdr>
          <w:left w:val="single" w:sz="20" w:space="8" w:color="2E74B5"/>
        </w:pBdr>
      </w:pPr>
      <w:r>
        <w:rPr>
          <w:rFonts w:ascii="Malgun Gothic" w:hAnsi="Malgun Gothic" w:eastAsia="Malgun Gothic" w:cs="Malgun Gothic"/>
          <w:b/>
          <w:color w:val="2E74B5"/>
          <w:sz w:val="21"/>
        </w:rPr>
        <w:t xml:space="preserve">1. 용도 전용성  </w:t>
      </w:r>
      <w:r>
        <w:rPr>
          <w:rFonts w:ascii="Malgun Gothic" w:hAnsi="Malgun Gothic" w:eastAsia="Malgun Gothic" w:cs="Malgun Gothic"/>
          <w:color w:val="24313D"/>
          <w:sz w:val="21"/>
        </w:rPr>
        <w:t>청구항 전제부·한정요소에 특정 공정·설비·용도가 등장하면 제외한다. 파지·힘제어·학습·관절 기구 자체를 청구하면 포함한다. 출원인이나 응용례 나열로 판단하지 않는다.</w:t>
      </w:r>
    </w:p>
    <w:p>
      <w:pPr>
        <w:spacing w:before="100" w:after="200" w:line="276" w:lineRule="auto"/>
        <w:ind w:left="173" w:right="86"/>
        <w:shd w:fill="F4F8FB" w:val="clear"/>
        <w:pBdr>
          <w:left w:val="single" w:sz="20" w:space="8" w:color="2E74B5"/>
        </w:pBdr>
      </w:pPr>
      <w:r>
        <w:rPr>
          <w:rFonts w:ascii="Malgun Gothic" w:hAnsi="Malgun Gothic" w:eastAsia="Malgun Gothic" w:cs="Malgun Gothic"/>
          <w:b/>
          <w:color w:val="2E74B5"/>
          <w:sz w:val="21"/>
        </w:rPr>
        <w:t xml:space="preserve">2. 완제품 OEM 3분할  </w:t>
      </w:r>
      <w:r>
        <w:rPr>
          <w:rFonts w:ascii="Malgun Gothic" w:hAnsi="Malgun Gothic" w:eastAsia="Malgun Gothic" w:cs="Malgun Gothic"/>
          <w:color w:val="24313D"/>
          <w:sz w:val="21"/>
        </w:rPr>
        <w:t>휴머노이드 제조사 특허도 제품 라인으로 나눈다. 휴머노이드 라인은 포함·핵심, legged/4족 일반은 포함·이전가능, 흡착 물류 전용 라인은 제외한다.</w:t>
      </w:r>
    </w:p>
    <w:p>
      <w:pPr>
        <w:spacing w:before="100" w:after="200" w:line="276" w:lineRule="auto"/>
        <w:ind w:left="173" w:right="86"/>
        <w:shd w:fill="F4F8FB" w:val="clear"/>
        <w:pBdr>
          <w:left w:val="single" w:sz="20" w:space="8" w:color="2E74B5"/>
        </w:pBdr>
      </w:pPr>
      <w:r>
        <w:rPr>
          <w:rFonts w:ascii="Malgun Gothic" w:hAnsi="Malgun Gothic" w:eastAsia="Malgun Gothic" w:cs="Malgun Gothic"/>
          <w:b/>
          <w:color w:val="2E74B5"/>
          <w:sz w:val="21"/>
        </w:rPr>
        <w:t xml:space="preserve">3. 역방향 구제  </w:t>
      </w:r>
      <w:r>
        <w:rPr>
          <w:rFonts w:ascii="Malgun Gothic" w:hAnsi="Malgun Gothic" w:eastAsia="Malgun Gothic" w:cs="Malgun Gothic"/>
          <w:color w:val="24313D"/>
          <w:sz w:val="21"/>
        </w:rPr>
        <w:t>자동차·전자 등 종합 대기업 특허라도 휴머노이드가 명시되면 핵심으로 포함한다.</w:t>
      </w:r>
    </w:p>
    <w:p>
      <w:pPr>
        <w:spacing w:before="100" w:after="200" w:line="276" w:lineRule="auto"/>
        <w:ind w:left="173" w:right="86"/>
        <w:shd w:fill="F4F8FB" w:val="clear"/>
        <w:pBdr>
          <w:left w:val="single" w:sz="20" w:space="8" w:color="2E74B5"/>
        </w:pBdr>
      </w:pPr>
      <w:r>
        <w:rPr>
          <w:rFonts w:ascii="Malgun Gothic" w:hAnsi="Malgun Gothic" w:eastAsia="Malgun Gothic" w:cs="Malgun Gothic"/>
          <w:b/>
          <w:color w:val="2E74B5"/>
          <w:sz w:val="21"/>
        </w:rPr>
        <w:t xml:space="preserve">4. 4족 원칙  </w:t>
      </w:r>
      <w:r>
        <w:rPr>
          <w:rFonts w:ascii="Malgun Gothic" w:hAnsi="Malgun Gothic" w:eastAsia="Malgun Gothic" w:cs="Malgun Gothic"/>
          <w:color w:val="24313D"/>
          <w:sz w:val="21"/>
        </w:rPr>
        <w:t>4족·다족·휠레그의 전신제어·다리 액추에이터·균형 기술은 이족 이전성을 인정하여 포함한다. 완구 4족만 제외한다.</w:t>
      </w:r>
    </w:p>
    <w:p>
      <w:pPr>
        <w:spacing w:before="100" w:after="200" w:line="276" w:lineRule="auto"/>
        <w:ind w:left="173" w:right="86"/>
        <w:shd w:fill="F4F8FB" w:val="clear"/>
        <w:pBdr>
          <w:left w:val="single" w:sz="20" w:space="8" w:color="2E74B5"/>
        </w:pBdr>
      </w:pPr>
      <w:r>
        <w:rPr>
          <w:rFonts w:ascii="Malgun Gothic" w:hAnsi="Malgun Gothic" w:eastAsia="Malgun Gothic" w:cs="Malgun Gothic"/>
          <w:b/>
          <w:color w:val="2E74B5"/>
          <w:sz w:val="21"/>
        </w:rPr>
        <w:t xml:space="preserve">5. 물류 학습 2분할  </w:t>
      </w:r>
      <w:r>
        <w:rPr>
          <w:rFonts w:ascii="Malgun Gothic" w:hAnsi="Malgun Gothic" w:eastAsia="Malgun Gothic" w:cs="Malgun Gothic"/>
          <w:color w:val="24313D"/>
          <w:sz w:val="21"/>
        </w:rPr>
        <w:t>빈피킹·파지 전략·접촉 기반 그립 조정처럼 파지·조작 스킬을 학습하면 포함한다. 팔레타이징 배치·분류 자원할당처럼 물류 워크플로를 학습하면 제외한다.</w:t>
      </w:r>
    </w:p>
    <w:p>
      <w:pPr>
        <w:spacing w:before="100" w:after="200" w:line="276" w:lineRule="auto"/>
        <w:ind w:left="173" w:right="86"/>
        <w:shd w:fill="F4F8FB" w:val="clear"/>
        <w:pBdr>
          <w:left w:val="single" w:sz="20" w:space="8" w:color="2E74B5"/>
        </w:pBdr>
      </w:pPr>
      <w:r>
        <w:rPr>
          <w:rFonts w:ascii="Malgun Gothic" w:hAnsi="Malgun Gothic" w:eastAsia="Malgun Gothic" w:cs="Malgun Gothic"/>
          <w:b/>
          <w:color w:val="2E74B5"/>
          <w:sz w:val="21"/>
        </w:rPr>
        <w:t xml:space="preserve">6. 산업용 회색지대  </w:t>
      </w:r>
      <w:r>
        <w:rPr>
          <w:rFonts w:ascii="Malgun Gothic" w:hAnsi="Malgun Gothic" w:eastAsia="Malgun Gothic" w:cs="Malgun Gothic"/>
          <w:color w:val="24313D"/>
          <w:sz w:val="21"/>
        </w:rPr>
        <w:t>힘 기반 직접교시·리드스루, 도메인 무작위화 성격의 시뮬레이션 파라미터 튜닝은 포함한다. OLP·공정 검증 시뮬레이터·교시 UI·캘리브레이션은 제외한다.</w:t>
      </w:r>
    </w:p>
    <w:p>
      <w:pPr>
        <w:spacing w:before="100" w:after="200" w:line="276" w:lineRule="auto"/>
        <w:ind w:left="173" w:right="86"/>
        <w:shd w:fill="FFF7E3" w:val="clear"/>
        <w:pBdr>
          <w:left w:val="single" w:sz="20" w:space="8" w:color="8A6514"/>
        </w:pBdr>
      </w:pPr>
      <w:r>
        <w:rPr>
          <w:rFonts w:ascii="Malgun Gothic" w:hAnsi="Malgun Gothic" w:eastAsia="Malgun Gothic" w:cs="Malgun Gothic"/>
          <w:b/>
          <w:color w:val="8A6514"/>
          <w:sz w:val="21"/>
        </w:rPr>
        <w:t xml:space="preserve">7. 흡착 3예외  </w:t>
      </w:r>
      <w:r>
        <w:rPr>
          <w:rFonts w:ascii="Malgun Gothic" w:hAnsi="Malgun Gothic" w:eastAsia="Malgun Gothic" w:cs="Malgun Gothic"/>
          <w:color w:val="24313D"/>
          <w:sz w:val="21"/>
        </w:rPr>
        <w:t>진공 흡착은 기본 제외하되 ①촉각/힘 피드백 실시간 조정 ②손가락 기구 하이브리드 ③파지품질 학습·물리모델이면 포함한다.</w:t>
      </w:r>
    </w:p>
    <w:p>
      <w:pPr>
        <w:spacing w:before="100" w:after="200" w:line="276" w:lineRule="auto"/>
        <w:ind w:left="173" w:right="86"/>
        <w:shd w:fill="F4F8FB" w:val="clear"/>
        <w:pBdr>
          <w:left w:val="single" w:sz="20" w:space="8" w:color="2E74B5"/>
        </w:pBdr>
      </w:pPr>
      <w:r>
        <w:rPr>
          <w:rFonts w:ascii="Malgun Gothic" w:hAnsi="Malgun Gothic" w:eastAsia="Malgun Gothic" w:cs="Malgun Gothic"/>
          <w:b/>
          <w:color w:val="2E74B5"/>
          <w:sz w:val="21"/>
        </w:rPr>
        <w:t xml:space="preserve">8. 소프트 그리퍼  </w:t>
      </w:r>
      <w:r>
        <w:rPr>
          <w:rFonts w:ascii="Malgun Gothic" w:hAnsi="Malgun Gothic" w:eastAsia="Malgun Gothic" w:cs="Malgun Gothic"/>
          <w:color w:val="24313D"/>
          <w:sz w:val="21"/>
        </w:rPr>
        <w:t>파지 원리·기구 특허는 포함(약)하고, 유체 배관·허브 등 시스템 패키징은 제외한다.</w:t>
      </w:r>
    </w:p>
    <w:p>
      <w:pPr>
        <w:spacing w:before="100" w:after="200" w:line="276" w:lineRule="auto"/>
        <w:ind w:left="173" w:right="86"/>
        <w:shd w:fill="FFF7E3" w:val="clear"/>
        <w:pBdr>
          <w:left w:val="single" w:sz="20" w:space="8" w:color="8A6514"/>
        </w:pBdr>
      </w:pPr>
      <w:r>
        <w:rPr>
          <w:rFonts w:ascii="Malgun Gothic" w:hAnsi="Malgun Gothic" w:eastAsia="Malgun Gothic" w:cs="Malgun Gothic"/>
          <w:b/>
          <w:color w:val="8A6514"/>
          <w:sz w:val="21"/>
        </w:rPr>
        <w:t xml:space="preserve">9. 외골격 예외  </w:t>
      </w:r>
      <w:r>
        <w:rPr>
          <w:rFonts w:ascii="Malgun Gothic" w:hAnsi="Malgun Gothic" w:eastAsia="Malgun Gothic" w:cs="Malgun Gothic"/>
          <w:color w:val="24313D"/>
          <w:sz w:val="21"/>
        </w:rPr>
        <w:t>착용형이라도 로봇 원격조작 마스터 또는 로봇 학습용 데이터 수집이 목적이면 포함한다. 가변강성 액추에이터 등 관절 요소기술 자체도 포함한다.</w:t>
      </w:r>
    </w:p>
    <w:p>
      <w:pPr>
        <w:spacing w:before="100" w:after="200" w:line="276" w:lineRule="auto"/>
        <w:ind w:left="173" w:right="86"/>
        <w:shd w:fill="F4F8FB" w:val="clear"/>
        <w:pBdr>
          <w:left w:val="single" w:sz="20" w:space="8" w:color="2E74B5"/>
        </w:pBdr>
      </w:pPr>
      <w:r>
        <w:rPr>
          <w:rFonts w:ascii="Malgun Gothic" w:hAnsi="Malgun Gothic" w:eastAsia="Malgun Gothic" w:cs="Malgun Gothic"/>
          <w:b/>
          <w:color w:val="2E74B5"/>
          <w:sz w:val="21"/>
        </w:rPr>
        <w:t xml:space="preserve">10. 안전 판별  </w:t>
      </w:r>
      <w:r>
        <w:rPr>
          <w:rFonts w:ascii="Malgun Gothic" w:hAnsi="Malgun Gothic" w:eastAsia="Malgun Gothic" w:cs="Malgun Gothic"/>
          <w:color w:val="24313D"/>
          <w:sz w:val="21"/>
        </w:rPr>
        <w:t>인간 공존 환경의 충돌·접촉·속도·거리 안전만 포함한다. 물체의 안전한 파지·이송 또는 펜스·인터록·고장 진단 같은 설비 기능안전은 해당 축에서 제외한다.</w:t>
      </w:r>
    </w:p>
    <w:p>
      <w:pPr>
        <w:spacing w:before="100" w:after="200" w:line="276" w:lineRule="auto"/>
        <w:ind w:left="173" w:right="86"/>
        <w:shd w:fill="F4F8FB" w:val="clear"/>
        <w:pBdr>
          <w:left w:val="single" w:sz="20" w:space="8" w:color="2E74B5"/>
        </w:pBdr>
      </w:pPr>
      <w:r>
        <w:rPr>
          <w:rFonts w:ascii="Malgun Gothic" w:hAnsi="Malgun Gothic" w:eastAsia="Malgun Gothic" w:cs="Malgun Gothic"/>
          <w:b/>
          <w:color w:val="2E74B5"/>
          <w:sz w:val="21"/>
        </w:rPr>
        <w:t xml:space="preserve">11. 시뮬레이션 판별  </w:t>
      </w:r>
      <w:r>
        <w:rPr>
          <w:rFonts w:ascii="Malgun Gothic" w:hAnsi="Malgun Gothic" w:eastAsia="Malgun Gothic" w:cs="Malgun Gothic"/>
          <w:color w:val="24313D"/>
          <w:sz w:val="21"/>
        </w:rPr>
        <w:t>학습·데이터 생성·Sim-to-Real·파라미터 튜닝용 시뮬레이션만 포함한다. 공정 검증·OLP·설계 도구는 제외한다.</w:t>
      </w:r>
    </w:p>
    <w:p>
      <w:pPr>
        <w:spacing w:before="100" w:after="200" w:line="276" w:lineRule="auto"/>
        <w:ind w:left="173" w:right="86"/>
        <w:shd w:fill="F4F8FB" w:val="clear"/>
        <w:pBdr>
          <w:left w:val="single" w:sz="20" w:space="8" w:color="2E74B5"/>
        </w:pBdr>
      </w:pPr>
      <w:r>
        <w:rPr>
          <w:rFonts w:ascii="Malgun Gothic" w:hAnsi="Malgun Gothic" w:eastAsia="Malgun Gothic" w:cs="Malgun Gothic"/>
          <w:b/>
          <w:color w:val="2E74B5"/>
          <w:sz w:val="21"/>
        </w:rPr>
        <w:t xml:space="preserve">12. 오탐 어휘 주의  </w:t>
      </w:r>
      <w:r>
        <w:rPr>
          <w:rFonts w:ascii="Malgun Gothic" w:hAnsi="Malgun Gothic" w:eastAsia="Malgun Gothic" w:cs="Malgun Gothic"/>
          <w:color w:val="24313D"/>
          <w:sz w:val="21"/>
        </w:rPr>
        <w:t>recycling은 재활이 아니고, load balancing은 균형 제어가 아니며, gravity balancer는 스프링 부품이다. pedestrian과 가공물 pose도 각각 인간협업·자세제어의 자동 근거가 아니다.</w:t>
      </w:r>
    </w:p>
    <w:p>
      <w:r>
        <w:br w:type="page"/>
      </w:r>
    </w:p>
    <w:p>
      <w:pPr>
        <w:pStyle w:val="Heading1"/>
        <w:keepNext/>
      </w:pPr>
      <w:r>
        <w:t>8. 대표 판정 사례</w:t>
      </w:r>
    </w:p>
    <w:p>
      <w:pPr>
        <w:pStyle w:val="Heading2"/>
        <w:keepNext/>
      </w:pPr>
      <w:r>
        <w:t>8.1 포함 사례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4060"/>
        <w:gridCol w:w="2000"/>
      </w:tblGrid>
      <w:tr>
        <w:trPr>
          <w:tblHeader w:val="true"/>
        </w:trPr>
        <w:tc>
          <w:tcPr>
            <w:tcW w:type="dxa" w:w="15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등록번호</w:t>
            </w:r>
          </w:p>
        </w:tc>
        <w:tc>
          <w:tcPr>
            <w:tcW w:type="dxa" w:w="18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출원인</w:t>
            </w:r>
          </w:p>
        </w:tc>
        <w:tc>
          <w:tcPr>
            <w:tcW w:type="dxa" w:w="406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기술 내용</w:t>
            </w:r>
          </w:p>
        </w:tc>
        <w:tc>
          <w:tcPr>
            <w:tcW w:type="dxa" w:w="20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분류·판정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US12605824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Figure AI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휴머노이드 전신·엄지 직접구동 설계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H1·H5 / 직접 핵심 포함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US12172297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Sanctuary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힘줄·실리콘 스킨 기반 사람 손 모방 기계식 손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H1·H2 / 포함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US12318935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NVIDIA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신경 가치함수 기반 이동 물체 실시간 파지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H3·H6 / 포함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US11185975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현대차·기아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이족 이중지지 구간 구동력 제어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H1·H4 / 포함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US11865714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삼성전자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QDD 이중감속 준직접구동 관절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H5 / 의료 오매칭 구제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US12214495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NAVER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햅틱 원격 교시와 접촉 태스크 학습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H3·H7 / 포함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US11254004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Veo Robotics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정지 시간·거리 자동 추정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H8 / 인간협업 안전 포함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8.2 제외 사례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4060"/>
        <w:gridCol w:w="2000"/>
      </w:tblGrid>
      <w:tr>
        <w:trPr>
          <w:tblHeader w:val="true"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등록번호</w:t>
            </w:r>
          </w:p>
        </w:tc>
        <w:tc>
          <w:tcPr>
            <w:tcW w:type="dxa" w:w="18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출원인</w:t>
            </w:r>
          </w:p>
        </w:tc>
        <w:tc>
          <w:tcPr>
            <w:tcW w:type="dxa" w:w="40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기술 내용</w:t>
            </w:r>
          </w:p>
        </w:tc>
        <w:tc>
          <w:tcPr>
            <w:tcW w:type="dxa" w:w="2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제외 사유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US9902070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FANUC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공작기계 냉각제 노즐 조정 로봇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E1 / 공작기계 공정 전용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US11285619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FANUC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칩마운터 테이프릴 파지 핸드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E1 / SMT 설비 전용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US11554498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Kawasaki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웨이퍼 지그·반송 기술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E1 / 반도체 설비 전용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US10603788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FANUC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오프라인 공정 검증 시뮬레이터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E1 / 학습·Sim-to-Real 아님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US12194634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해군군의대·Surgerii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수술 마스터-슬레이브 오류 검출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E2 / 수술 전용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US11833688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PETOI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장난감 4족 로봇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E6 / 완구 4족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8.3 같은 키워드가 갈리는 대비 사례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700"/>
        <w:gridCol w:w="2700"/>
        <w:gridCol w:w="2660"/>
      </w:tblGrid>
      <w:tr>
        <w:trPr>
          <w:tblHeader w:val="true"/>
        </w:trPr>
        <w:tc>
          <w:tcPr>
            <w:tcW w:type="dxa" w:w="13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쟁점</w:t>
            </w:r>
          </w:p>
        </w:tc>
        <w:tc>
          <w:tcPr>
            <w:tcW w:type="dxa" w:w="27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포함</w:t>
            </w:r>
          </w:p>
        </w:tc>
        <w:tc>
          <w:tcPr>
            <w:tcW w:type="dxa" w:w="27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제외</w:t>
            </w:r>
          </w:p>
        </w:tc>
        <w:tc>
          <w:tcPr>
            <w:tcW w:type="dxa" w:w="266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판정 포인트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산업용 로봇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FANUC US11701777: 빈피킹 적응형 파지 계획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FANUC US9902070: 공작기계 노즐 조정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범용 파지 코어인가, 특정 공정 설비인가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시뮬레이션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X Development US11458630: 접촉 시뮬레이션 기반 Sim-to-Real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FANUC US10603788: OLP·공정 검증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학습·데이터 생성인가, 공정 검증 도구인가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외골격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Acumino US11822710: 로봇 학습용 인간 시연 데이터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착용 보조·재활 자체 목적 특허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착용 장치의 목적이 로봇 학습/텔레옵인가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안전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Veo US11254004: 인간-로봇 거리·정지 안전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Siemens US9707681: OLP 간섭 관리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인간 공존 안전인가, 설비 기능안전인가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160" w:line="252" w:lineRule="auto"/>
        <w:jc w:val="left"/>
      </w:pPr>
      <w:r>
        <w:rPr>
          <w:rFonts w:ascii="Malgun Gothic" w:hAnsi="Malgun Gothic" w:eastAsia="Malgun Gothic" w:cs="Malgun Gothic"/>
          <w:color w:val="5F6B76"/>
          <w:sz w:val="17"/>
        </w:rPr>
        <w:t>대표 사례는 A2_정답셋_사례매핑.md의 확정·경계·오탐 판정 선례를 요약한 것이다. 개별 특허의 최종 라벨은 Gold v1.1 데이터셋을 우선한다.</w:t>
      </w:r>
    </w:p>
    <w:p>
      <w:r>
        <w:br w:type="page"/>
      </w:r>
    </w:p>
    <w:p>
      <w:pPr>
        <w:pStyle w:val="Heading1"/>
        <w:keepNext/>
      </w:pPr>
      <w:r>
        <w:t>9. 최종 데이터 열의 해석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500"/>
        <w:gridCol w:w="3000"/>
        <w:gridCol w:w="3460"/>
      </w:tblGrid>
      <w:tr>
        <w:trPr>
          <w:tblHeader w:val="true"/>
        </w:trPr>
        <w:tc>
          <w:tcPr>
            <w:tcW w:type="dxa" w:w="14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열</w:t>
            </w:r>
          </w:p>
        </w:tc>
        <w:tc>
          <w:tcPr>
            <w:tcW w:type="dxa" w:w="15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허용값</w:t>
            </w:r>
          </w:p>
        </w:tc>
        <w:tc>
          <w:tcPr>
            <w:tcW w:type="dxa" w:w="30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해석</w:t>
            </w:r>
          </w:p>
        </w:tc>
        <w:tc>
          <w:tcPr>
            <w:tcW w:type="dxa" w:w="346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분석 시 주의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gold_label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최종 유효특허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특허 통계·출원인 분석·클러스터링의 기본 모집단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gold_label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최종 제외특허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경계·오탐 검증용 대조군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기술분류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H1–H8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포함 특허의 복수 기술축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세미콜론 기준으로 분리 집계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기술분류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비대상(E0–E7)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제외특허의 주된 제외 유형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H1–H8 분포 집계에서 제외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판정이유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한국어 문장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포함·제외 근거의 요약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8"/>
              </w:rPr>
              <w:t>수동 조정은 ‘수동 구제/조정’으로 표시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264" w:lineRule="auto"/>
        <w:jc w:val="left"/>
      </w:pPr>
      <w:r>
        <w:rPr>
          <w:rFonts w:ascii="Malgun Gothic" w:hAnsi="Malgun Gothic" w:eastAsia="Malgun Gothic" w:cs="Malgun Gothic"/>
          <w:color w:val="24313D"/>
        </w:rPr>
        <w:t>기술분류는 판정 감사기록의 C1–C7 신호와 제목·초록·청구항·AI 요약의 강한 기능 신호를 결합해 부여하였다. 포함 특허는 모두 최소 1개의 H코드를 갖고, 제외 특허는 H코드 대신 비대상(E코드)으로 구분하였다. gold_label 자체는 분류코드의 수나 빈도와 무관하게 v1.1 최종 판정을 그대로 사용한다.</w:t>
      </w:r>
    </w:p>
    <w:p>
      <w:pPr>
        <w:pStyle w:val="Heading1"/>
        <w:keepNext/>
      </w:pPr>
      <w:r>
        <w:t>10. 보고서 삽입용 문안</w:t>
      </w:r>
    </w:p>
    <w:p>
      <w:pPr>
        <w:pStyle w:val="Heading2"/>
        <w:keepNext/>
      </w:pPr>
      <w:r>
        <w:t>10.1 본문형</w:t>
      </w:r>
    </w:p>
    <w:p>
      <w:pPr>
        <w:spacing w:before="0" w:after="200" w:line="288" w:lineRule="auto"/>
        <w:ind w:left="173" w:right="115"/>
        <w:jc w:val="left"/>
        <w:shd w:fill="F4F8FB" w:val="clear"/>
        <w:pBdr>
          <w:left w:val="single" w:sz="20" w:space="8" w:color="2E74B5"/>
        </w:pBdr>
      </w:pPr>
      <w:r>
        <w:rPr>
          <w:rFonts w:ascii="Malgun Gothic" w:hAnsi="Malgun Gothic" w:eastAsia="Malgun Gothic" w:cs="Malgun Gothic"/>
          <w:color w:val="24313D"/>
        </w:rPr>
        <w:t>본 연구는 휴머노이드 로봇 관련 미국 특허 후보 3,757건을 대상으로 동일 WIPS 특허패밀리의 중복을 제거하여 3,323건의 패밀리 대표 특허를 분석 단위로 구성하였다. 유효특허 선별은 출원인 또는 단순 키워드가 아니라 제목·초록·대표 및 독립청구항, AI 요약에 나타난 발명의 청구 대상과 기술적 핵심을 기준으로 수행하였다. 휴머노이드·인간형·이족보행·전신제어·완제품 플랫폼을 직접 대상으로 하는 특허와, 휴머노이드 전용은 아니더라도 KIMM 가치사슬의 H/W·지능·데이터 축에서 로봇손·파지·촉각, 매니퓰레이션 학습·제어, 균형·보행, 액추에이터·감속기·관절, 로봇비전·VLA·모방학습, 텔레오퍼레이션·Sim-to-Real, 인간협업 안전에 해당하는 이전가능 코어 기술을 포함하였다. 반면 청구항이 용접·도장·가공·웨이퍼·컨베이어·팔레타이징 등 특정 산업 공정이나 설비에 묶이거나 수술·외골격·청소·물류 반송·완구·비실체 소프트웨어 등 특정 제품 목적에 종속된 경우는 제외하였다. 다만 제외 분야의 특허라도 범용 QDD 관절, 힘·임피던스 제어, 로봇 학습 데이터 수집, 힘·촉각 기반 파지처럼 휴머노이드로 이전 가능한 코어 기술 자체를 청구한 경우에는 포함하였다. 이 기준에 따라 3,323건 중 1,246건을 최종 유효특허(gold_label=1), 2,077건을 제외특허(gold_label=0)로 확정하였다.</w:t>
      </w:r>
    </w:p>
    <w:p>
      <w:pPr>
        <w:pStyle w:val="Heading2"/>
        <w:keepNext/>
      </w:pPr>
      <w:r>
        <w:t>10.2 요약형</w:t>
      </w:r>
    </w:p>
    <w:p>
      <w:pPr>
        <w:spacing w:before="0" w:after="200" w:line="288" w:lineRule="auto"/>
        <w:ind w:left="173" w:right="115"/>
        <w:jc w:val="left"/>
        <w:shd w:fill="EAF5EF" w:val="clear"/>
        <w:pBdr>
          <w:left w:val="single" w:sz="20" w:space="8" w:color="2E6B4F"/>
        </w:pBdr>
      </w:pPr>
      <w:r>
        <w:rPr>
          <w:rFonts w:ascii="Malgun Gothic" w:hAnsi="Malgun Gothic" w:eastAsia="Malgun Gothic" w:cs="Malgun Gothic"/>
          <w:color w:val="24313D"/>
        </w:rPr>
        <w:t>동일 특허패밀리를 대표 1건으로 통합한 3,323건을 대상으로, 청구 대상과 기술적 핵심이 휴머노이드에 직접 해당하거나 H/W·지능·데이터 가치사슬에서 휴머노이드로 이전 가능한 코어 기술인 경우를 포함하였다. 특정 공정·설비·의료·외골격·청소·물류·완구에 종속된 기술은 제외하되, 범용 코어 기술 자체가 청구된 경우에는 예외적으로 구제하였다. 최종 유효특허는 1,246건이다.</w:t>
      </w:r>
    </w:p>
    <w:p>
      <w:pPr>
        <w:pStyle w:val="Heading2"/>
        <w:keepNext/>
      </w:pPr>
      <w:r>
        <w:t>10.3 한 문장형</w:t>
      </w:r>
    </w:p>
    <w:p>
      <w:pPr>
        <w:spacing w:before="100" w:after="200" w:line="276" w:lineRule="auto"/>
        <w:ind w:left="173" w:right="86"/>
        <w:shd w:fill="FFF7E3" w:val="clear"/>
        <w:pBdr>
          <w:left w:val="single" w:sz="20" w:space="8" w:color="8A6514"/>
        </w:pBdr>
      </w:pPr>
      <w:r>
        <w:rPr>
          <w:rFonts w:ascii="Malgun Gothic" w:hAnsi="Malgun Gothic" w:eastAsia="Malgun Gothic" w:cs="Malgun Gothic"/>
          <w:b/>
          <w:color w:val="8A6514"/>
          <w:sz w:val="21"/>
        </w:rPr>
        <w:t xml:space="preserve">선별 기준  </w:t>
      </w:r>
      <w:r>
        <w:rPr>
          <w:rFonts w:ascii="Malgun Gothic" w:hAnsi="Malgun Gothic" w:eastAsia="Malgun Gothic" w:cs="Malgun Gothic"/>
          <w:color w:val="24313D"/>
          <w:sz w:val="21"/>
        </w:rPr>
        <w:t>휴머노이드에 직접 해당하거나 H/W·지능·데이터 상용화 병목에 이전 가능한 코어 기술은 포함하고, 특정 공정·제품·응용 또는 키워드에만 관련된 특허는 제외하였다.</w:t>
      </w:r>
    </w:p>
    <w:p>
      <w:pPr>
        <w:pStyle w:val="Heading1"/>
        <w:keepNext/>
      </w:pPr>
      <w:r>
        <w:t>11. 사용 범위와 한계</w:t>
      </w:r>
    </w:p>
    <w:p>
      <w:pPr>
        <w:spacing w:before="0" w:after="100" w:line="280" w:lineRule="auto"/>
        <w:jc w:val="left"/>
        <w:numPr>
          <w:ilvl w:val="0"/>
          <w:numId w:val="10"/>
        </w:numPr>
      </w:pPr>
      <w:r>
        <w:rPr>
          <w:rFonts w:ascii="Malgun Gothic" w:hAnsi="Malgun Gothic" w:eastAsia="Malgun Gothic" w:cs="Malgun Gothic"/>
          <w:color w:val="24313D"/>
        </w:rPr>
        <w:t>분석 모집단은 현재 확보한 미국 특허 원자료와 검색 범위에 한정되므로, 전 세계 휴머노이드 특허의 완전한 전수집합을 의미하지 않는다.</w:t>
      </w:r>
    </w:p>
    <w:p>
      <w:pPr>
        <w:spacing w:before="0" w:after="100" w:line="280" w:lineRule="auto"/>
        <w:jc w:val="left"/>
        <w:numPr>
          <w:ilvl w:val="0"/>
          <w:numId w:val="10"/>
        </w:numPr>
      </w:pPr>
      <w:r>
        <w:rPr>
          <w:rFonts w:ascii="Malgun Gothic" w:hAnsi="Malgun Gothic" w:eastAsia="Malgun Gothic" w:cs="Malgun Gothic"/>
          <w:color w:val="24313D"/>
        </w:rPr>
        <w:t>패밀리 대표 1건 기준이므로 문헌 수를 세는 분석과 발명 수를 세는 분석을 구분해야 한다. 본 Gold v1.1은 후자에 적합하다.</w:t>
      </w:r>
    </w:p>
    <w:p>
      <w:pPr>
        <w:spacing w:before="0" w:after="100" w:line="280" w:lineRule="auto"/>
        <w:jc w:val="left"/>
        <w:numPr>
          <w:ilvl w:val="0"/>
          <w:numId w:val="10"/>
        </w:numPr>
      </w:pPr>
      <w:r>
        <w:rPr>
          <w:rFonts w:ascii="Malgun Gothic" w:hAnsi="Malgun Gothic" w:eastAsia="Malgun Gothic" w:cs="Malgun Gothic"/>
          <w:color w:val="24313D"/>
        </w:rPr>
        <w:t>H1–H8은 복수분류이며 분류 합계가 1,246건을 초과한다. 단일 클러스터가 필요하면 연구 목적에 맞는 우선순위 규칙을 별도로 적용한다.</w:t>
      </w:r>
    </w:p>
    <w:p>
      <w:pPr>
        <w:spacing w:before="0" w:after="100" w:line="280" w:lineRule="auto"/>
        <w:jc w:val="left"/>
        <w:numPr>
          <w:ilvl w:val="0"/>
          <w:numId w:val="10"/>
        </w:numPr>
      </w:pPr>
      <w:r>
        <w:rPr>
          <w:rFonts w:ascii="Malgun Gothic" w:hAnsi="Malgun Gothic" w:eastAsia="Malgun Gothic" w:cs="Malgun Gothic"/>
          <w:color w:val="24313D"/>
        </w:rPr>
        <w:t>gold_label은 확정 라벨이고, 판정이유는 감사 편의를 위한 압축 설명이다. 법률적 권리 유효성·침해·무효 판단에 사용하지 않는다.</w:t>
      </w:r>
    </w:p>
    <w:p>
      <w:pPr>
        <w:spacing w:before="0" w:after="100" w:line="280" w:lineRule="auto"/>
        <w:jc w:val="left"/>
        <w:numPr>
          <w:ilvl w:val="0"/>
          <w:numId w:val="10"/>
        </w:numPr>
      </w:pPr>
      <w:r>
        <w:rPr>
          <w:rFonts w:ascii="Malgun Gothic" w:hAnsi="Malgun Gothic" w:eastAsia="Malgun Gothic" w:cs="Malgun Gothic"/>
          <w:color w:val="24313D"/>
        </w:rPr>
        <w:t>신규 특허를 추가할 때는 동일한 패밀리 대표 원칙과 12개 경계 규칙을 적용하고, 기존 v1.1 행의 라벨을 임의 변경하지 않는다.</w:t>
      </w:r>
    </w:p>
    <w:p>
      <w:pPr>
        <w:pStyle w:val="Heading1"/>
        <w:keepNext/>
      </w:pPr>
      <w:r>
        <w:t>12. 근거 문서와 데이터 계보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860"/>
        <w:gridCol w:w="4100"/>
      </w:tblGrid>
      <w:tr>
        <w:trPr>
          <w:tblHeader w:val="true"/>
        </w:trPr>
        <w:tc>
          <w:tcPr>
            <w:tcW w:type="dxa" w:w="14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구분</w:t>
            </w:r>
          </w:p>
        </w:tc>
        <w:tc>
          <w:tcPr>
            <w:tcW w:type="dxa" w:w="386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파일</w:t>
            </w:r>
          </w:p>
        </w:tc>
        <w:tc>
          <w:tcPr>
            <w:tcW w:type="dxa" w:w="4100"/>
            <w:shd w:fill="D9EAF7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83B56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원자료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휴머노이드문제/휴머노이드특허_Raw.xlsx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원본 3,757건·67열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최종 라벨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DataSet/humanoid/goldset_v1_1.csv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패밀리 대표 3,323건·최종 gold v1.1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판정 감사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DataSet/.../judge/audit.jsonl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C1–C7·E 판정 및 rationale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확정 규칙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DataSet/humanoid/A2_판정규칙_v1.md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도메인 소유자 확정 12개 규칙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사례 매핑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A2_정답셋_사례매핑.md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확정·경계·오탐 판정 사례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KIMM 근거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DataSet/humanoid/KIMM_핵심자료_정리.md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H/W·지능·데이터 3축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최종 엑셀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휴머노이드_Gold_v1_1_패밀리대표_3323건.xlsx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  <w:insideH w:val="single" w:sz="4" w:space="0" w:color="D7DEE5"/>
              <w:insideV w:val="single" w:sz="4" w:space="0" w:color="D7DEE5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4313D"/>
                <w:sz w:val="17"/>
              </w:rPr>
              <w:t>원본 67열 + 분석 열 3개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160" w:line="252" w:lineRule="auto"/>
        <w:jc w:val="left"/>
      </w:pPr>
      <w:r>
        <w:rPr>
          <w:rFonts w:ascii="Malgun Gothic" w:hAnsi="Malgun Gothic" w:eastAsia="Malgun Gothic" w:cs="Malgun Gothic"/>
          <w:color w:val="5F6B76"/>
          <w:sz w:val="17"/>
        </w:rPr>
        <w:t>기준 간 충돌 시 우선순위: A2_판정규칙_v1.md(도메인 소유자 확정) → goldset_v1_1.csv(최종 라벨) → 사례매핑·판정 감사 기록 → 자동 분류 신호.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algun Gothic" w:hAnsi="Malgun Gothic" w:eastAsia="Malgun Gothic" w:cs="Malgun Gothic"/>
        <w:color w:val="5F6B76"/>
        <w:sz w:val="17"/>
      </w:rPr>
      <w:t xml:space="preserve">gold v1.1  ·  2026.07.24  ·  </w:t>
    </w:r>
    <w:r>
      <w:rPr>
        <w:rFonts w:ascii="Malgun Gothic" w:hAnsi="Malgun Gothic" w:eastAsia="Malgun Gothic" w:cs="Malgun Gothic"/>
        <w:color w:val="5F6B76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 w:cs="Malgun Gothic"/>
        <w:color w:val="5F6B76"/>
        <w:sz w:val="17"/>
      </w:rPr>
      <w:t>휴머노이드 특허 Gold v1.1  |  최종 선별 기준서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 w:cs="Malgun Gothic"/>
      <w:b w:val="0"/>
      <w:color w:val="24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Label">
    <w:name w:val="Case Label"/>
    <w:pPr>
      <w:keepNext/>
      <w:spacing w:before="140" w:after="60"/>
    </w:pPr>
    <w:rPr>
      <w:rFonts w:ascii="Malgun Gothic" w:hAnsi="Malgun Gothic" w:eastAsia="Malgun Gothic" w:cs="Malgun Gothic"/>
      <w:b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휴머노이드 특허 Gold v1.1 최종 선별 기준서</dc:title>
  <dc:subject>패밀리 대표 3,323건 및 최종 유효특허 1,246건의 포함·제외 기준</dc:subject>
  <dc:creator>A2 프로젝트팀</dc:creator>
  <cp:keywords>휴머노이드, 특허, Gold v1.1, 유효특허, H1-H8, KIMM, 패밀리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