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《网吧进化论》游戏策划案</w:t>
      </w:r>
    </w:p>
    <w:p>
      <w:pPr>
        <w:pStyle w:val="Heading2"/>
      </w:pPr>
      <w:r>
        <w:t xml:space="preserve">项目名称</w:t>
      </w:r>
    </w:p>
    <w:p>
      <w:pPr>
        <w:pStyle w:val="text"/>
      </w:pPr>
      <w:r>
        <w:t xml:space="preserve">网吧进化论 —— 从复古到未来的模拟经营与电竞生态构建</w:t>
      </w:r>
    </w:p>
    <w:p>
      <w:pPr>
        <w:pStyle w:val="Heading2"/>
      </w:pPr>
      <w:r>
        <w:t xml:space="preserve">策划目标</w:t>
      </w:r>
    </w:p>
    <w:p>
      <w:pPr>
        <w:pStyle w:val="text"/>
      </w:pPr>
      <w:r>
        <w:t xml:space="preserve">通过模拟经营、空间规划、时代变迁与电竞发展等多元模块，营造沉浸式网吧经营体验，深度展现网吧行业兴衰与技术迭代之间的紧密联系。</w:t>
      </w:r>
    </w:p>
    <w:p>
      <w:pPr>
        <w:pStyle w:val="Heading2"/>
      </w:pPr>
      <w:r>
        <w:t xml:space="preserve">一、项目背景与市场分析</w:t>
      </w:r>
    </w:p>
    <w:p>
      <w:pPr>
        <w:pStyle w:val="Heading3"/>
      </w:pPr>
      <w:r>
        <w:t xml:space="preserve">背景设定</w:t>
      </w:r>
    </w:p>
    <w:p>
      <w:pPr>
        <w:pStyle w:val="text"/>
      </w:pPr>
      <w:r>
        <w:t xml:space="preserve">游戏时间线横跨上世纪 90 年代至近未来，玩家在游戏过程中需要应对互联网技术的不断迭代、用户需求的持续变化以及激烈的行业竞争压力。游戏的核心矛盾聚焦于硬件成本与盈利模式的平衡，以及传统网吧向电竞 / 娱乐综合体转型所面临的挑战。</w:t>
      </w:r>
    </w:p>
    <w:p>
      <w:pPr>
        <w:pStyle w:val="Heading3"/>
      </w:pPr>
      <w:r>
        <w:t xml:space="preserve">用户需求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目标群体</w:t>
      </w:r>
      <w:r>
        <w:t xml:space="preserve">：主要面向模拟经营游戏爱好者、热衷电竞文化的受众以及怀揣怀旧情感的玩家。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需求痛点</w:t>
      </w:r>
      <w:r>
        <w:t xml:space="preserve">：玩家渴望游戏能够真实还原网吧经营的各类细节，同时将策略性玩法与叙事性内容有机融合，并提供多分支的发展路径，如向电竞战队、直播公司、娱乐综合体等方向发展。</w:t>
      </w:r>
    </w:p>
    <w:p>
      <w:pPr>
        <w:pStyle w:val="Heading2"/>
      </w:pPr>
      <w:r>
        <w:t xml:space="preserve">二、游戏定位与核心模块</w:t>
      </w:r>
    </w:p>
    <w:p>
      <w:pPr>
        <w:pStyle w:val="Heading3"/>
      </w:pPr>
      <w:r>
        <w:t xml:space="preserve">核心玩法定位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模拟经营</w:t>
      </w:r>
      <w:r>
        <w:t xml:space="preserve">：玩家从无到有打造属于自己的网吧，精心优化空间布局，例如合理划分吸烟区与禁烟区，设计私密隔断等，以此提升顾客满意度。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策略决策</w:t>
      </w:r>
      <w:r>
        <w:t xml:space="preserve">：依据不同时代的需求，灵活调整电脑配置，综合考虑兼容性与性价比；制定科学的定价策略，如采用分时段收费、会员制度等；积极拓展合作模式，与硬件商、游戏厂商建立合作关系。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叙事驱动</w:t>
      </w:r>
      <w:r>
        <w:t xml:space="preserve">：巧妙嵌入具有时代特色的任务，如非典期间线上流量激增等情景；融入丰富的角色故事，包括与网管的互动、顾客引发的各类事件等。</w:t>
      </w:r>
    </w:p>
    <w:p>
      <w:pPr>
        <w:pStyle w:val="Heading3"/>
      </w:pPr>
      <w:r>
        <w:t xml:space="preserve">核心模块拆分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模块 1：空间规划与设施管理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功能</w:t>
      </w:r>
      <w:r>
        <w:t xml:space="preserve">：玩家可通过设置隔墙、摆放绿植以及划分功能区（如电竞区、休闲区）等方式，提升网吧的环境评分，进而吸引不同类型的客群，如文艺青年、电竞玩家等。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挑战</w:t>
      </w:r>
      <w:r>
        <w:t xml:space="preserve">：在设计过程中，需要平衡好私密性与增益效果之间的关系，例如隔墙虽然能够有效阻断顾客之间的干扰，但会减少绿植带来的环境加成。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模块 2：硬件配置与成本控制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动态升级</w:t>
      </w:r>
      <w:r>
        <w:t xml:space="preserve">：玩家需要根据主流游戏的需求变化（如从《传奇》到《英雄联盟》再到《原神》），及时更新网吧硬件设备，并不断探索低价高配的硬件采购方案。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成本压力</w:t>
      </w:r>
      <w:r>
        <w:t xml:space="preserve">：在游戏初期，资金相对紧张，玩家需要合理出售冗余设备；而在中后期，则需应对高投入的电竞设备与盈利周期之间的矛盾。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模块 3：顾客群体与经营策略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客群细分</w:t>
      </w:r>
      <w:r>
        <w:t xml:space="preserve">：针对学生、上班族、电竞玩家等不同客群，制定差异化的服务策略，如为学生提供低价时段、为上班族推出包夜优惠、为电竞玩家打造高端电竞区等。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数据驱动</w:t>
      </w:r>
      <w:r>
        <w:t xml:space="preserve">：玩家可通过分析财务报表，合理调整价格；通过分析用户行为数据，优化网吧服务，例如增设餐饮区、代销游戏点卡等。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模块 4：员工管理与电竞生态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网管系统</w:t>
      </w:r>
      <w:r>
        <w:t xml:space="preserve">：玩家可以合理分配网管工作，如清洁、技术支持等，并根据工作情况调整薪资，以维持网管的工作状态；与网管进行亲密互动，还可解锁隐藏剧情。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电竞战队</w:t>
      </w:r>
      <w:r>
        <w:t xml:space="preserve">：玩家能够招募 5 人电竞团队，通过系统训练提升战队战力，参与各类赛事获取奖金与品牌曝光。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模块 5：时代变迁与转型挑战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技术迭代</w:t>
      </w:r>
      <w:r>
        <w:t xml:space="preserve">：随着游戏行业发展，从 PC 端游到手游的冲击，玩家需要适时将网吧转型为电竞酒店、直播公司或娱乐综合体。</w:t>
      </w:r>
    </w:p>
    <w:p>
      <w:pPr>
        <w:pStyle w:val="text"/>
        <w:numPr>
          <w:ilvl w:val="1"/>
          <w:numId w:val="5"/>
        </w:numPr>
      </w:pPr>
      <w:r>
        <w:rPr>
          <w:b/>
          <w:bCs/>
        </w:rPr>
        <w:t xml:space="preserve">事件驱动</w:t>
      </w:r>
      <w:r>
        <w:t xml:space="preserve">：玩家需要应对各类突发事件，如公共卫生事件（如非典）、政策变化（未成年人限入）等，以此推动游戏进程。</w:t>
      </w:r>
    </w:p>
    <w:p>
      <w:pPr>
        <w:pStyle w:val="Heading2"/>
      </w:pPr>
      <w:r>
        <w:t xml:space="preserve">三、运营策略与活动设计</w:t>
      </w:r>
    </w:p>
    <w:p>
      <w:pPr>
        <w:pStyle w:val="Heading3"/>
      </w:pPr>
      <w:r>
        <w:t xml:space="preserve">短期活动</w:t>
      </w:r>
    </w:p>
    <w:p>
      <w:pPr>
        <w:pStyle w:val="text"/>
        <w:numPr>
          <w:ilvl w:val="0"/>
          <w:numId w:val="10"/>
        </w:numPr>
      </w:pPr>
      <w:r>
        <w:t xml:space="preserve">举办节日促销活动，如元旦期间推出充值赠送与免费上网时段；举办电竞比赛，如英雄联盟线下赛；开展游戏联动活动，如剑灵冲级奖励等。</w:t>
      </w:r>
    </w:p>
    <w:p>
      <w:pPr>
        <w:pStyle w:val="text"/>
        <w:numPr>
          <w:ilvl w:val="0"/>
          <w:numId w:val="10"/>
        </w:numPr>
      </w:pPr>
      <w:r>
        <w:t xml:space="preserve">通过设置 “幸运大转盘”“任务兑换网费” 等活动，提升用户活跃度与粘性。</w:t>
      </w:r>
    </w:p>
    <w:p>
      <w:pPr>
        <w:pStyle w:val="Heading3"/>
      </w:pPr>
      <w:r>
        <w:t xml:space="preserve">长期运营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品牌建设</w:t>
      </w:r>
      <w:r>
        <w:t xml:space="preserve">：玩家可以打造具有特色的网吧品牌，如 “高端电竞馆” 或 “怀旧主题网吧”，并通过与直播平台合作、举办赛事等方式，提升网吧的知名度。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生态扩展</w:t>
      </w:r>
      <w:r>
        <w:t xml:space="preserve">：引入主播培养机制，搭建直播间，逐步形成 “网吧→电竞→直播” 的完整产业链。</w:t>
      </w:r>
    </w:p>
    <w:p>
      <w:pPr>
        <w:pStyle w:val="Heading2"/>
      </w:pPr>
      <w:r>
        <w:t xml:space="preserve">四、风险控制与创新点</w:t>
      </w:r>
    </w:p>
    <w:p>
      <w:pPr>
        <w:pStyle w:val="Heading3"/>
      </w:pPr>
      <w:r>
        <w:t xml:space="preserve">风险预判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硬件过时风险</w:t>
      </w:r>
      <w:r>
        <w:t xml:space="preserve">：玩家需要定期评估主流游戏的配置需求，提前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2025-02-24T09:38:39.994Z</dcterms:created>
  <dcterms:modified xsi:type="dcterms:W3CDTF">2025-02-24T09:38:39.994Z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