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kevlar-research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for new data sources</w:t>
      </w:r>
    </w:p>
    <w:p>
      <w:r>
        <w:t xml:space="preserve">3. Monitor market updates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Research Areas</w:t>
      </w:r>
    </w:p>
    <w:p>
      <w:r>
        <w:t xml:space="preserve">• New property data sources</w:t>
      </w:r>
    </w:p>
    <w:p>
      <w:r>
        <w:t xml:space="preserve">• Competitor APIs</w:t>
      </w:r>
    </w:p>
    <w:p>
      <w:r>
        <w:t xml:space="preserve">• Investor needs</w:t>
      </w:r>
    </w:p>
    <w:p>
      <w:r>
        <w:t xml:space="preserve">• Expansion counties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Deliverables</w:t>
      </w:r>
    </w:p>
    <w:p>
      <w:r>
        <w:t xml:space="preserve">• Weekly: Intelligence brief</w:t>
      </w:r>
    </w:p>
    <w:p>
      <w:r>
        <w:t xml:space="preserve">• Monthly: Market report</w:t>
      </w:r>
    </w:p>
    <w:p>
      <w:r>
        <w:t xml:space="preserve">• Ad-hoc: Specific research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2026-04-16T16:36:26.403Z</dcterms:created>
  <dcterms:modified xsi:type="dcterms:W3CDTF">2026-04-16T16:36:26.403Z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