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sativa-research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for new market data</w:t>
      </w:r>
    </w:p>
    <w:p>
      <w:r>
        <w:t xml:space="preserve">3. Monitor competitor updates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Research Areas</w:t>
      </w:r>
    </w:p>
    <w:p>
      <w:r>
        <w:t xml:space="preserve">• Emerging market trends</w:t>
      </w:r>
    </w:p>
    <w:p>
      <w:r>
        <w:t xml:space="preserve">• Competitor analysis</w:t>
      </w:r>
    </w:p>
    <w:p>
      <w:r>
        <w:t xml:space="preserve">• New data sources</w:t>
      </w:r>
    </w:p>
    <w:p>
      <w:r>
        <w:t xml:space="preserve">• Regulatory changes</w:t>
      </w:r>
    </w:p>
    <w:p>
      <w:r>
        <w:t xml:space="preserve">• Sector analysis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Deliverables</w:t>
      </w:r>
    </w:p>
    <w:p>
      <w:r>
        <w:t xml:space="preserve">• Weekly: Market intelligence brief</w:t>
      </w:r>
    </w:p>
    <w:p>
      <w:r>
        <w:t xml:space="preserve">• Monthly: Sector deep-dive</w:t>
      </w:r>
    </w:p>
    <w:p>
      <w:r>
        <w:t xml:space="preserve">• Ad-hoc: Specific research requests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Present data, not investment advice</w:t>
      </w:r>
    </w:p>
    <w:p>
      <w:r>
        <w:t xml:space="preserve">• No "buy" or "sell" recommendations</w:t>
      </w:r>
    </w:p>
    <w:p>
      <w:r>
        <w:t xml:space="preserve">• Include disclaimer on all reports</w:t>
      </w:r>
    </w:p>
    <w:p>
      <w:r>
        <w:t xml:space="preserve">• Facts only, no predictions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2026-04-16T16:36:26.572Z</dcterms:created>
  <dcterms:modified xsi:type="dcterms:W3CDTF">2026-04-16T16:36:26.572Z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