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Agreement review 2026</w:t>
      </w:r>
    </w:p>
    <w:p>
      <w:r>
        <w:t xml:space="preserve">The delivery total is 1350 units.</w:t>
      </w:r>
    </w:p>
    <w:p>
      <w:r>
        <w:t xml:space="preserve">Payment is due within thirty days.</w:t>
      </w:r>
    </w:p>
    <w:tbl>
      <w:tblPr/>
      <w:tblGrid/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Quantity</w:t>
            </w:r>
          </w:p>
        </w:tc>
        <w:tc>
          <w:tcPr/>
          <w:p>
            <w:r>
              <w:t xml:space="preserve">Unit price</w:t>
            </w:r>
          </w:p>
        </w:tc>
      </w:tr>
      <w:tr>
        <w:tc>
          <w:tcPr/>
          <w:p>
            <w:r>
              <w:t xml:space="preserve">Widget A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600</w:t>
            </w:r>
          </w:p>
        </w:tc>
      </w:tr>
      <w:tr>
        <w:tc>
          <w:tcPr/>
          <w:p>
            <w:r>
              <w:t xml:space="preserve">Widget B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250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</Relationships>
</file>