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28F" w:rsidRDefault="007301E3">
      <w:pPr>
        <w:pStyle w:val="Subtitle"/>
        <w:rPr>
          <w:b/>
          <w:color w:val="000000"/>
        </w:rPr>
      </w:pPr>
      <w:bookmarkStart w:id="0" w:name="_el8qvqv2091l" w:colFirst="0" w:colLast="0"/>
      <w:bookmarkStart w:id="1" w:name="_GoBack"/>
      <w:bookmarkEnd w:id="0"/>
      <w:bookmarkEnd w:id="1"/>
      <w:r>
        <w:rPr>
          <w:b/>
          <w:color w:val="000000"/>
        </w:rPr>
        <w:t>Structure of the exam</w:t>
      </w:r>
    </w:p>
    <w:p w:rsidR="002D628F" w:rsidRDefault="007301E3">
      <w:pPr>
        <w:pStyle w:val="normal0"/>
        <w:rPr>
          <w:b/>
          <w:color w:val="FF0000"/>
          <w:sz w:val="24"/>
          <w:szCs w:val="24"/>
          <w:u w:val="single"/>
        </w:rPr>
      </w:pPr>
      <w:r>
        <w:rPr>
          <w:b/>
          <w:sz w:val="24"/>
          <w:szCs w:val="24"/>
          <w:u w:val="single"/>
        </w:rPr>
        <w:t xml:space="preserve">Your semester 2 exam will cover content that was covered in </w:t>
      </w:r>
      <w:r>
        <w:rPr>
          <w:b/>
          <w:color w:val="FF0000"/>
          <w:sz w:val="24"/>
          <w:szCs w:val="24"/>
          <w:u w:val="single"/>
        </w:rPr>
        <w:t>Unit 1 AND Unit 2.</w:t>
      </w:r>
    </w:p>
    <w:p w:rsidR="002D628F" w:rsidRDefault="002D628F">
      <w:pPr>
        <w:pStyle w:val="normal0"/>
        <w:rPr>
          <w:b/>
        </w:rPr>
      </w:pPr>
    </w:p>
    <w:p w:rsidR="002D628F" w:rsidRDefault="007301E3">
      <w:pPr>
        <w:pStyle w:val="normal0"/>
      </w:pPr>
      <w:r>
        <w:t xml:space="preserve">1. The Unit 1 content that will be drawn upon is what is required to understand certain topic areas in Unit 2. </w:t>
      </w:r>
      <w:r>
        <w:br/>
        <w:t xml:space="preserve">For example </w:t>
      </w:r>
      <w:r>
        <w:br/>
      </w:r>
      <w:r>
        <w:t xml:space="preserve">- to understand solubility you are required to understand how ionic compounds or molecular substances are capable of dissolving in  water. For this you need to understand hydrogen bonding and ion-dipole interactions. This was taught in Unit 1. </w:t>
      </w:r>
    </w:p>
    <w:p w:rsidR="002D628F" w:rsidRDefault="007301E3">
      <w:pPr>
        <w:pStyle w:val="normal0"/>
      </w:pPr>
      <w:r>
        <w:t>- we have l</w:t>
      </w:r>
      <w:r>
        <w:t>earnt about combustion reactions in Unit 1 so these can be applied to stoichiometry calculations</w:t>
      </w:r>
    </w:p>
    <w:p w:rsidR="002D628F" w:rsidRDefault="007301E3">
      <w:pPr>
        <w:pStyle w:val="normal0"/>
      </w:pPr>
      <w:r>
        <w:t>- using an understanding of chemical and molecular structure/shape to predict how a substance might behave in water</w:t>
      </w:r>
    </w:p>
    <w:p w:rsidR="002D628F" w:rsidRDefault="007301E3">
      <w:pPr>
        <w:pStyle w:val="normal0"/>
      </w:pPr>
      <w:r>
        <w:t>-using valencies to write chemical formulae</w:t>
      </w:r>
      <w:r>
        <w:t xml:space="preserve"> ( includes polyatomic ions)</w:t>
      </w:r>
    </w:p>
    <w:p w:rsidR="002D628F" w:rsidRDefault="007301E3">
      <w:pPr>
        <w:pStyle w:val="normal0"/>
      </w:pPr>
      <w:r>
        <w:t>-writing balanced chemical equations</w:t>
      </w:r>
    </w:p>
    <w:p w:rsidR="002D628F" w:rsidRDefault="007301E3">
      <w:pPr>
        <w:pStyle w:val="normal0"/>
      </w:pPr>
      <w:r>
        <w:t>- calculations involving the mole</w:t>
      </w:r>
    </w:p>
    <w:p w:rsidR="002D628F" w:rsidRDefault="007301E3">
      <w:pPr>
        <w:pStyle w:val="normal0"/>
      </w:pPr>
      <w:r>
        <w:t>-experimental error analysis - predicting an overestimate or an underestimate</w:t>
      </w:r>
    </w:p>
    <w:p w:rsidR="002D628F" w:rsidRDefault="002D628F">
      <w:pPr>
        <w:pStyle w:val="normal0"/>
      </w:pPr>
    </w:p>
    <w:p w:rsidR="002D628F" w:rsidRDefault="007301E3">
      <w:pPr>
        <w:pStyle w:val="normal0"/>
      </w:pPr>
      <w:r>
        <w:t>2. Exam consists of Section A - Multiple choice and Section B - extended resp</w:t>
      </w:r>
      <w:r>
        <w:t>onse</w:t>
      </w:r>
    </w:p>
    <w:p w:rsidR="002D628F" w:rsidRDefault="002D628F">
      <w:pPr>
        <w:pStyle w:val="normal0"/>
      </w:pPr>
    </w:p>
    <w:p w:rsidR="002D628F" w:rsidRDefault="007301E3">
      <w:pPr>
        <w:pStyle w:val="normal0"/>
      </w:pPr>
      <w:r>
        <w:t>3. Answers need to be quoted with correct units, states of matter and significant figures where applicable.</w:t>
      </w:r>
    </w:p>
    <w:p w:rsidR="002D628F" w:rsidRDefault="002D628F">
      <w:pPr>
        <w:pStyle w:val="normal0"/>
        <w:tabs>
          <w:tab w:val="left" w:pos="504"/>
        </w:tabs>
        <w:spacing w:line="240" w:lineRule="auto"/>
      </w:pPr>
    </w:p>
    <w:p w:rsidR="002D628F" w:rsidRDefault="007301E3">
      <w:pPr>
        <w:pStyle w:val="normal0"/>
        <w:tabs>
          <w:tab w:val="left" w:pos="504"/>
        </w:tabs>
        <w:spacing w:line="240" w:lineRule="auto"/>
        <w:rPr>
          <w:b/>
        </w:rPr>
      </w:pPr>
      <w:r>
        <w:t>4.Bring a scientific calculator and a</w:t>
      </w:r>
      <w:r>
        <w:rPr>
          <w:b/>
        </w:rPr>
        <w:t xml:space="preserve"> RULER..</w:t>
      </w:r>
    </w:p>
    <w:p w:rsidR="002D628F" w:rsidRDefault="007301E3">
      <w:pPr>
        <w:pStyle w:val="normal0"/>
        <w:tabs>
          <w:tab w:val="left" w:pos="504"/>
        </w:tabs>
        <w:spacing w:line="240" w:lineRule="auto"/>
      </w:pPr>
      <w:r>
        <w:t xml:space="preserve"> NO GRAPHICS CALCULATORS ARE PERMITTED </w:t>
      </w:r>
    </w:p>
    <w:p w:rsidR="002D628F" w:rsidRDefault="007301E3">
      <w:pPr>
        <w:pStyle w:val="Subtitle"/>
        <w:rPr>
          <w:b/>
          <w:color w:val="000000"/>
        </w:rPr>
      </w:pPr>
      <w:bookmarkStart w:id="2" w:name="_oc6xgd93cd7i" w:colFirst="0" w:colLast="0"/>
      <w:bookmarkEnd w:id="2"/>
      <w:r>
        <w:rPr>
          <w:b/>
          <w:color w:val="000000"/>
        </w:rPr>
        <w:br/>
        <w:t>What will be examined</w:t>
      </w:r>
    </w:p>
    <w:p w:rsidR="002D628F" w:rsidRDefault="007301E3">
      <w:pPr>
        <w:pStyle w:val="normal0"/>
      </w:pPr>
      <w:r>
        <w:t xml:space="preserve">In VCE Chemistry it is </w:t>
      </w:r>
      <w:r>
        <w:rPr>
          <w:b/>
        </w:rPr>
        <w:t>NOT</w:t>
      </w:r>
      <w:r>
        <w:t xml:space="preserve"> enoug</w:t>
      </w:r>
      <w:r>
        <w:t xml:space="preserve">h to learn a series of chemical facts which are referred to in the study design as Key Knowledge. </w:t>
      </w:r>
      <w:r>
        <w:br/>
      </w:r>
      <w:r>
        <w:br/>
        <w:t xml:space="preserve">You are examined on your ability to use specific </w:t>
      </w:r>
      <w:r>
        <w:rPr>
          <w:b/>
          <w:u w:val="single"/>
        </w:rPr>
        <w:t>chemistry key skills</w:t>
      </w:r>
      <w:r>
        <w:t xml:space="preserve"> to apply this key knowledge to solve the exam questions presented. </w:t>
      </w:r>
    </w:p>
    <w:p w:rsidR="002D628F" w:rsidRDefault="002D628F">
      <w:pPr>
        <w:pStyle w:val="normal0"/>
      </w:pPr>
    </w:p>
    <w:p w:rsidR="002D628F" w:rsidRDefault="007301E3">
      <w:pPr>
        <w:pStyle w:val="normal0"/>
      </w:pPr>
      <w:r>
        <w:t>In the table belo</w:t>
      </w:r>
      <w:r>
        <w:t>w you will find some suggested key knowledge areas you need to be familiar with together with a list of important skills that you have developed across the semester that have helped you solve chemistry questions that are directly related to these key knowl</w:t>
      </w:r>
      <w:r>
        <w:t>edge areas.</w:t>
      </w:r>
    </w:p>
    <w:p w:rsidR="002D628F" w:rsidRDefault="002D628F">
      <w:pPr>
        <w:pStyle w:val="normal0"/>
      </w:pPr>
    </w:p>
    <w:p w:rsidR="002D628F" w:rsidRDefault="007301E3">
      <w:pPr>
        <w:pStyle w:val="normal0"/>
      </w:pPr>
      <w:r>
        <w:t>You must understand and use the specific chemical language that is used in each  topic we have covered. See the Chapter review Key terms at the end of each topic we have covered in your textbook</w:t>
      </w:r>
    </w:p>
    <w:p w:rsidR="002D628F" w:rsidRDefault="002D628F">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628F">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jc w:val="center"/>
              <w:rPr>
                <w:b/>
              </w:rPr>
            </w:pPr>
            <w:r>
              <w:rPr>
                <w:b/>
              </w:rPr>
              <w:t>Key knowledge</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jc w:val="center"/>
              <w:rPr>
                <w:b/>
              </w:rPr>
            </w:pPr>
            <w:r>
              <w:rPr>
                <w:b/>
              </w:rPr>
              <w:t>Chapter from textbook</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jc w:val="center"/>
              <w:rPr>
                <w:b/>
              </w:rPr>
            </w:pPr>
            <w:r>
              <w:rPr>
                <w:b/>
              </w:rPr>
              <w:t>Key skills</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Properties of water</w:t>
            </w:r>
          </w:p>
          <w:p w:rsidR="002D628F" w:rsidRDefault="007301E3">
            <w:pPr>
              <w:pStyle w:val="normal0"/>
              <w:widowControl w:val="0"/>
              <w:spacing w:line="240" w:lineRule="auto"/>
            </w:pPr>
            <w:r>
              <w:t>Specific heat capacity</w:t>
            </w:r>
          </w:p>
          <w:p w:rsidR="002D628F" w:rsidRDefault="002D628F">
            <w:pPr>
              <w:pStyle w:val="normal0"/>
              <w:widowControl w:val="0"/>
              <w:spacing w:line="240" w:lineRule="auto"/>
            </w:pP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12</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Relate how molecular structure of water determines the various unique properties it water displays.</w:t>
            </w:r>
          </w:p>
          <w:p w:rsidR="002D628F" w:rsidRDefault="002D628F">
            <w:pPr>
              <w:pStyle w:val="normal0"/>
              <w:widowControl w:val="0"/>
              <w:spacing w:line="240" w:lineRule="auto"/>
            </w:pPr>
          </w:p>
          <w:p w:rsidR="002D628F" w:rsidRDefault="007301E3">
            <w:pPr>
              <w:pStyle w:val="normal0"/>
              <w:widowControl w:val="0"/>
              <w:spacing w:line="240" w:lineRule="auto"/>
            </w:pPr>
            <w:r>
              <w:t>Carry out specific heat calculations</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Water as a solvent</w:t>
            </w:r>
          </w:p>
          <w:p w:rsidR="002D628F" w:rsidRDefault="007301E3">
            <w:pPr>
              <w:pStyle w:val="normal0"/>
              <w:widowControl w:val="0"/>
              <w:spacing w:line="240" w:lineRule="auto"/>
            </w:pPr>
            <w:r>
              <w:t>Hydrogen bonding properties</w:t>
            </w:r>
          </w:p>
          <w:p w:rsidR="002D628F" w:rsidRDefault="007301E3">
            <w:pPr>
              <w:pStyle w:val="normal0"/>
              <w:widowControl w:val="0"/>
              <w:spacing w:line="240" w:lineRule="auto"/>
            </w:pPr>
            <w:r>
              <w:t>Role of intermolecular forces in dissolving ie/ hydrogen bonding, ion-dipole interactions</w:t>
            </w:r>
          </w:p>
          <w:p w:rsidR="002D628F" w:rsidRDefault="002D628F">
            <w:pPr>
              <w:pStyle w:val="normal0"/>
              <w:widowControl w:val="0"/>
              <w:spacing w:line="240" w:lineRule="auto"/>
            </w:pP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13</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Make predictions on chemical behaviour and properties using a molecular structure.</w:t>
            </w:r>
          </w:p>
          <w:p w:rsidR="002D628F" w:rsidRDefault="002D628F">
            <w:pPr>
              <w:pStyle w:val="normal0"/>
              <w:widowControl w:val="0"/>
              <w:spacing w:line="240" w:lineRule="auto"/>
            </w:pP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Solubilty</w:t>
            </w:r>
          </w:p>
          <w:p w:rsidR="002D628F" w:rsidRDefault="007301E3">
            <w:pPr>
              <w:pStyle w:val="normal0"/>
              <w:widowControl w:val="0"/>
              <w:spacing w:line="240" w:lineRule="auto"/>
            </w:pPr>
            <w:r>
              <w:t>-rules</w:t>
            </w:r>
          </w:p>
          <w:p w:rsidR="002D628F" w:rsidRDefault="007301E3">
            <w:pPr>
              <w:pStyle w:val="normal0"/>
              <w:widowControl w:val="0"/>
              <w:spacing w:line="240" w:lineRule="auto"/>
            </w:pPr>
            <w:r>
              <w:t>-relationship with temperature</w:t>
            </w:r>
          </w:p>
          <w:p w:rsidR="002D628F" w:rsidRDefault="007301E3">
            <w:pPr>
              <w:pStyle w:val="normal0"/>
              <w:widowControl w:val="0"/>
              <w:spacing w:line="240" w:lineRule="auto"/>
            </w:pPr>
            <w:r>
              <w:t>-precipitation reactions</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14</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Writing balanced chemical equations</w:t>
            </w:r>
          </w:p>
          <w:p w:rsidR="002D628F" w:rsidRDefault="002D628F">
            <w:pPr>
              <w:pStyle w:val="normal0"/>
              <w:widowControl w:val="0"/>
              <w:spacing w:line="240" w:lineRule="auto"/>
            </w:pPr>
          </w:p>
          <w:p w:rsidR="002D628F" w:rsidRDefault="007301E3">
            <w:pPr>
              <w:pStyle w:val="normal0"/>
              <w:widowControl w:val="0"/>
              <w:spacing w:line="240" w:lineRule="auto"/>
            </w:pPr>
            <w:r>
              <w:t>Solubility calculations</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Stoichiometry</w:t>
            </w:r>
          </w:p>
          <w:p w:rsidR="002D628F" w:rsidRDefault="007301E3">
            <w:pPr>
              <w:pStyle w:val="normal0"/>
              <w:widowControl w:val="0"/>
              <w:spacing w:line="240" w:lineRule="auto"/>
            </w:pPr>
            <w:r>
              <w:t>-molar concentration</w:t>
            </w:r>
          </w:p>
          <w:p w:rsidR="002D628F" w:rsidRDefault="007301E3">
            <w:pPr>
              <w:pStyle w:val="normal0"/>
              <w:widowControl w:val="0"/>
              <w:spacing w:line="240" w:lineRule="auto"/>
            </w:pPr>
            <w:r>
              <w:t>-dilution</w:t>
            </w:r>
          </w:p>
          <w:p w:rsidR="002D628F" w:rsidRDefault="007301E3">
            <w:pPr>
              <w:pStyle w:val="normal0"/>
              <w:widowControl w:val="0"/>
              <w:spacing w:line="240" w:lineRule="auto"/>
            </w:pPr>
            <w:r>
              <w:t>-limiting excess reactants</w:t>
            </w:r>
          </w:p>
          <w:p w:rsidR="002D628F" w:rsidRDefault="007301E3">
            <w:pPr>
              <w:pStyle w:val="normal0"/>
              <w:widowControl w:val="0"/>
              <w:spacing w:line="240" w:lineRule="auto"/>
            </w:pPr>
            <w:r>
              <w:t>-mass/mass stoich</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14,18, 20</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Calculations using n=cV or n=m/m or % mass calculations</w:t>
            </w:r>
          </w:p>
          <w:p w:rsidR="002D628F" w:rsidRDefault="002D628F">
            <w:pPr>
              <w:pStyle w:val="normal0"/>
              <w:widowControl w:val="0"/>
              <w:spacing w:line="240" w:lineRule="auto"/>
            </w:pPr>
          </w:p>
          <w:p w:rsidR="002D628F" w:rsidRDefault="007301E3">
            <w:pPr>
              <w:pStyle w:val="normal0"/>
              <w:widowControl w:val="0"/>
              <w:spacing w:line="240" w:lineRule="auto"/>
            </w:pPr>
            <w:r>
              <w:t>How to take into consideration the impact of a limiting/excess reactant in calculations.</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Acid base reactions</w:t>
            </w:r>
          </w:p>
          <w:p w:rsidR="002D628F" w:rsidRDefault="007301E3">
            <w:pPr>
              <w:pStyle w:val="normal0"/>
              <w:widowControl w:val="0"/>
              <w:spacing w:line="240" w:lineRule="auto"/>
            </w:pPr>
            <w:r>
              <w:t>Net ionic equations</w:t>
            </w:r>
          </w:p>
          <w:p w:rsidR="002D628F" w:rsidRDefault="007301E3">
            <w:pPr>
              <w:pStyle w:val="normal0"/>
              <w:widowControl w:val="0"/>
              <w:spacing w:line="240" w:lineRule="auto"/>
            </w:pPr>
            <w:r>
              <w:t>Strength of acids and bases</w:t>
            </w:r>
          </w:p>
          <w:p w:rsidR="002D628F" w:rsidRDefault="007301E3">
            <w:pPr>
              <w:pStyle w:val="normal0"/>
              <w:widowControl w:val="0"/>
              <w:spacing w:line="240" w:lineRule="auto"/>
            </w:pPr>
            <w:r>
              <w:t>pH calculations</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15</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How to recogni</w:t>
            </w:r>
            <w:r>
              <w:t>se acid/base reactions</w:t>
            </w:r>
          </w:p>
          <w:p w:rsidR="002D628F" w:rsidRDefault="002D628F">
            <w:pPr>
              <w:pStyle w:val="normal0"/>
              <w:widowControl w:val="0"/>
              <w:spacing w:line="240" w:lineRule="auto"/>
            </w:pPr>
          </w:p>
          <w:p w:rsidR="002D628F" w:rsidRDefault="007301E3">
            <w:pPr>
              <w:pStyle w:val="normal0"/>
              <w:widowControl w:val="0"/>
              <w:spacing w:line="240" w:lineRule="auto"/>
            </w:pPr>
            <w:r>
              <w:t xml:space="preserve">How to determine whether an acid or base can be described as being strong or weak, concentrated or dilute </w:t>
            </w:r>
          </w:p>
          <w:p w:rsidR="002D628F" w:rsidRDefault="002D628F">
            <w:pPr>
              <w:pStyle w:val="normal0"/>
              <w:widowControl w:val="0"/>
              <w:spacing w:line="240" w:lineRule="auto"/>
            </w:pPr>
          </w:p>
          <w:p w:rsidR="002D628F" w:rsidRDefault="007301E3">
            <w:pPr>
              <w:pStyle w:val="normal0"/>
              <w:widowControl w:val="0"/>
              <w:spacing w:line="240" w:lineRule="auto"/>
            </w:pPr>
            <w:r>
              <w:t>use of scientific, annotated diagrams to convey a chemical understanding</w:t>
            </w:r>
          </w:p>
          <w:p w:rsidR="002D628F" w:rsidRDefault="007301E3">
            <w:pPr>
              <w:pStyle w:val="normal0"/>
              <w:widowControl w:val="0"/>
              <w:spacing w:line="240" w:lineRule="auto"/>
            </w:pPr>
            <w:r>
              <w:t>Relate the  role of pH in determining how acidic or basic water is</w:t>
            </w:r>
          </w:p>
          <w:p w:rsidR="002D628F" w:rsidRDefault="002D628F">
            <w:pPr>
              <w:pStyle w:val="normal0"/>
              <w:widowControl w:val="0"/>
              <w:spacing w:line="240" w:lineRule="auto"/>
            </w:pPr>
          </w:p>
          <w:p w:rsidR="002D628F" w:rsidRDefault="007301E3">
            <w:pPr>
              <w:pStyle w:val="normal0"/>
              <w:widowControl w:val="0"/>
              <w:spacing w:line="240" w:lineRule="auto"/>
            </w:pPr>
            <w:r>
              <w:t>Determine the pH of a solution ( calculation)</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lastRenderedPageBreak/>
              <w:t>Redox reactions</w:t>
            </w:r>
          </w:p>
          <w:p w:rsidR="002D628F" w:rsidRDefault="007301E3">
            <w:pPr>
              <w:pStyle w:val="normal0"/>
              <w:widowControl w:val="0"/>
              <w:spacing w:line="240" w:lineRule="auto"/>
            </w:pPr>
            <w:r>
              <w:t>Key language, oxidant, reductant, oxidation, reduction, oxidised, reduced</w:t>
            </w:r>
          </w:p>
          <w:p w:rsidR="002D628F" w:rsidRDefault="007301E3">
            <w:pPr>
              <w:pStyle w:val="normal0"/>
              <w:widowControl w:val="0"/>
              <w:spacing w:line="240" w:lineRule="auto"/>
            </w:pPr>
            <w:r>
              <w:t>-oxidation numbers</w:t>
            </w:r>
          </w:p>
          <w:p w:rsidR="002D628F" w:rsidRDefault="007301E3">
            <w:pPr>
              <w:pStyle w:val="normal0"/>
              <w:widowControl w:val="0"/>
              <w:spacing w:line="240" w:lineRule="auto"/>
            </w:pPr>
            <w:r>
              <w:t>-half equations</w:t>
            </w:r>
          </w:p>
          <w:p w:rsidR="002D628F" w:rsidRDefault="007301E3">
            <w:pPr>
              <w:pStyle w:val="normal0"/>
              <w:widowControl w:val="0"/>
              <w:spacing w:line="240" w:lineRule="auto"/>
            </w:pPr>
            <w:r>
              <w:t>-net ionic equat</w:t>
            </w:r>
            <w:r>
              <w:t>ions</w:t>
            </w:r>
          </w:p>
          <w:p w:rsidR="002D628F" w:rsidRDefault="007301E3">
            <w:pPr>
              <w:pStyle w:val="normal0"/>
              <w:widowControl w:val="0"/>
              <w:spacing w:line="240" w:lineRule="auto"/>
            </w:pPr>
            <w:r>
              <w:t>-reactivity series of metals</w:t>
            </w:r>
          </w:p>
          <w:p w:rsidR="002D628F" w:rsidRDefault="007301E3">
            <w:pPr>
              <w:pStyle w:val="normal0"/>
              <w:widowControl w:val="0"/>
              <w:spacing w:line="240" w:lineRule="auto"/>
            </w:pPr>
            <w:r>
              <w:t>-predicting spontaneous reactions using electrochemical series</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15</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Use of oxidation numbers to identify redox reactions</w:t>
            </w:r>
          </w:p>
          <w:p w:rsidR="002D628F" w:rsidRDefault="002D628F">
            <w:pPr>
              <w:pStyle w:val="normal0"/>
              <w:widowControl w:val="0"/>
              <w:spacing w:line="240" w:lineRule="auto"/>
            </w:pPr>
          </w:p>
          <w:p w:rsidR="002D628F" w:rsidRDefault="007301E3">
            <w:pPr>
              <w:pStyle w:val="normal0"/>
              <w:widowControl w:val="0"/>
              <w:spacing w:line="240" w:lineRule="auto"/>
            </w:pPr>
            <w:r>
              <w:t>Identification of an oxidant/reductant in a balanced chemical equation</w:t>
            </w:r>
          </w:p>
          <w:p w:rsidR="002D628F" w:rsidRDefault="002D628F">
            <w:pPr>
              <w:pStyle w:val="normal0"/>
              <w:widowControl w:val="0"/>
              <w:spacing w:line="240" w:lineRule="auto"/>
            </w:pPr>
          </w:p>
          <w:p w:rsidR="002D628F" w:rsidRDefault="007301E3">
            <w:pPr>
              <w:pStyle w:val="normal0"/>
              <w:widowControl w:val="0"/>
              <w:spacing w:line="240" w:lineRule="auto"/>
            </w:pPr>
            <w:r>
              <w:t>Use of an electrochemcial series to predict spontaneous/non spontaneous reactions</w:t>
            </w:r>
          </w:p>
          <w:p w:rsidR="002D628F" w:rsidRDefault="002D628F">
            <w:pPr>
              <w:pStyle w:val="normal0"/>
              <w:widowControl w:val="0"/>
              <w:spacing w:line="240" w:lineRule="auto"/>
            </w:pPr>
          </w:p>
          <w:p w:rsidR="002D628F" w:rsidRDefault="007301E3">
            <w:pPr>
              <w:pStyle w:val="normal0"/>
              <w:widowControl w:val="0"/>
              <w:spacing w:line="240" w:lineRule="auto"/>
            </w:pPr>
            <w:r>
              <w:t>Writing half and full ionic equations for redox reactions</w:t>
            </w:r>
          </w:p>
        </w:tc>
      </w:tr>
      <w:tr w:rsidR="002D628F">
        <w:trPr>
          <w:trHeight w:val="420"/>
        </w:trPr>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Chemical Analysis</w:t>
            </w:r>
          </w:p>
          <w:p w:rsidR="002D628F" w:rsidRDefault="007301E3">
            <w:pPr>
              <w:pStyle w:val="normal0"/>
              <w:widowControl w:val="0"/>
              <w:spacing w:line="240" w:lineRule="auto"/>
            </w:pPr>
            <w:r>
              <w:t>-UV-visible spectroscopy</w:t>
            </w:r>
          </w:p>
          <w:p w:rsidR="002D628F" w:rsidRDefault="007301E3">
            <w:pPr>
              <w:pStyle w:val="normal0"/>
              <w:widowControl w:val="0"/>
              <w:spacing w:line="240" w:lineRule="auto"/>
            </w:pPr>
            <w:r>
              <w:t>-HPLC chromatography</w:t>
            </w:r>
          </w:p>
          <w:p w:rsidR="002D628F" w:rsidRDefault="007301E3">
            <w:pPr>
              <w:pStyle w:val="normal0"/>
              <w:widowControl w:val="0"/>
              <w:spacing w:line="240" w:lineRule="auto"/>
            </w:pPr>
            <w:r>
              <w:t>-Atomic absorption spectroscopy</w:t>
            </w:r>
          </w:p>
          <w:p w:rsidR="002D628F" w:rsidRDefault="007301E3">
            <w:pPr>
              <w:pStyle w:val="normal0"/>
              <w:widowControl w:val="0"/>
              <w:spacing w:line="240" w:lineRule="auto"/>
            </w:pPr>
            <w:r>
              <w:t>-volumetric analys</w:t>
            </w:r>
            <w:r>
              <w:t>is</w:t>
            </w:r>
          </w:p>
          <w:p w:rsidR="002D628F" w:rsidRDefault="007301E3">
            <w:pPr>
              <w:pStyle w:val="normal0"/>
              <w:widowControl w:val="0"/>
              <w:spacing w:line="240" w:lineRule="auto"/>
            </w:pPr>
            <w:r>
              <w:t>-conductivity</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Chapter 18,19, 20</w:t>
            </w:r>
          </w:p>
        </w:tc>
        <w:tc>
          <w:tcPr>
            <w:tcW w:w="3120" w:type="dxa"/>
            <w:shd w:val="clear" w:color="auto" w:fill="auto"/>
            <w:tcMar>
              <w:top w:w="100" w:type="dxa"/>
              <w:left w:w="100" w:type="dxa"/>
              <w:bottom w:w="100" w:type="dxa"/>
              <w:right w:w="100" w:type="dxa"/>
            </w:tcMar>
          </w:tcPr>
          <w:p w:rsidR="002D628F" w:rsidRDefault="007301E3">
            <w:pPr>
              <w:pStyle w:val="normal0"/>
              <w:widowControl w:val="0"/>
              <w:spacing w:line="240" w:lineRule="auto"/>
            </w:pPr>
            <w:r>
              <w:t>How to plot ( using correct scientific graphing conventions) and use calibration curves to carry out calculations.</w:t>
            </w:r>
          </w:p>
          <w:p w:rsidR="002D628F" w:rsidRDefault="002D628F">
            <w:pPr>
              <w:pStyle w:val="normal0"/>
              <w:widowControl w:val="0"/>
              <w:spacing w:line="240" w:lineRule="auto"/>
            </w:pPr>
          </w:p>
          <w:p w:rsidR="002D628F" w:rsidRDefault="007301E3">
            <w:pPr>
              <w:pStyle w:val="normal0"/>
              <w:widowControl w:val="0"/>
              <w:spacing w:line="240" w:lineRule="auto"/>
            </w:pPr>
            <w:r>
              <w:t>Experimental error analysis determining under/over estimate</w:t>
            </w:r>
          </w:p>
          <w:p w:rsidR="002D628F" w:rsidRDefault="002D628F">
            <w:pPr>
              <w:pStyle w:val="normal0"/>
              <w:widowControl w:val="0"/>
              <w:spacing w:line="240" w:lineRule="auto"/>
            </w:pPr>
          </w:p>
        </w:tc>
      </w:tr>
    </w:tbl>
    <w:p w:rsidR="002D628F" w:rsidRDefault="002D628F">
      <w:pPr>
        <w:pStyle w:val="normal0"/>
      </w:pPr>
    </w:p>
    <w:p w:rsidR="002D628F" w:rsidRDefault="002D628F">
      <w:pPr>
        <w:pStyle w:val="normal0"/>
        <w:jc w:val="center"/>
      </w:pPr>
    </w:p>
    <w:p w:rsidR="002D628F" w:rsidRDefault="002D628F">
      <w:pPr>
        <w:pStyle w:val="normal0"/>
      </w:pPr>
    </w:p>
    <w:sectPr w:rsidR="002D62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D628F"/>
    <w:rsid w:val="002D628F"/>
    <w:rsid w:val="00730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3510</Characters>
  <Application>Microsoft Macintosh Word</Application>
  <DocSecurity>0</DocSecurity>
  <Lines>29</Lines>
  <Paragraphs>8</Paragraphs>
  <ScaleCrop>false</ScaleCrop>
  <Company>JMSS</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Webber</cp:lastModifiedBy>
  <cp:revision>2</cp:revision>
  <dcterms:created xsi:type="dcterms:W3CDTF">2017-10-27T21:55:00Z</dcterms:created>
  <dcterms:modified xsi:type="dcterms:W3CDTF">2017-10-27T21:55:00Z</dcterms:modified>
</cp:coreProperties>
</file>