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9B9E60" w14:textId="77777777" w:rsidR="00142813" w:rsidRDefault="00142813" w:rsidP="00C2231F">
      <w:pPr>
        <w:pStyle w:val="Default"/>
        <w:spacing w:after="200" w:line="360" w:lineRule="auto"/>
        <w:jc w:val="center"/>
        <w:rPr>
          <w:iCs/>
          <w:sz w:val="32"/>
          <w:szCs w:val="32"/>
        </w:rPr>
      </w:pPr>
    </w:p>
    <w:p w14:paraId="57B3D9C2" w14:textId="2CF12674" w:rsidR="00C2231F" w:rsidRPr="004273FB" w:rsidRDefault="00C2231F" w:rsidP="00C2231F">
      <w:pPr>
        <w:pStyle w:val="Default"/>
        <w:spacing w:after="200" w:line="360" w:lineRule="auto"/>
        <w:jc w:val="center"/>
        <w:rPr>
          <w:iCs/>
          <w:sz w:val="40"/>
          <w:szCs w:val="40"/>
        </w:rPr>
      </w:pPr>
      <w:r>
        <w:rPr>
          <w:rFonts w:ascii="Times New Roman" w:hAnsi="Times New Roman"/>
          <w:b/>
          <w:sz w:val="40"/>
        </w:rPr>
        <w:t>KL EDUCONNECT: AN INSTITUTIONAL ACADEMIC INTEGRATION &amp; REAL-TIME DIGITAL LEARNING ECOSYSTEM WITH SECURE PARENT GATEWAY</w:t>
      </w:r>
    </w:p>
    <w:p w14:paraId="51A8E618" w14:textId="58BB002C" w:rsidR="00525F2B" w:rsidRDefault="008B5E6E" w:rsidP="00F916E9">
      <w:pPr>
        <w:jc w:val="center"/>
        <w:rPr>
          <w:rFonts w:eastAsia="Times New Roman"/>
          <w:i/>
          <w:iCs/>
          <w:color w:val="000000"/>
          <w:sz w:val="26"/>
          <w:szCs w:val="26"/>
          <w:lang w:val="en-IN" w:eastAsia="en-IN" w:bidi="hi-IN"/>
        </w:rPr>
      </w:pPr>
      <w:r>
        <w:rPr>
          <w:rFonts w:ascii="Times New Roman" w:hAnsi="Times New Roman"/>
          <w:sz w:val="26"/>
        </w:rPr>
        <w:t>A Project Based Learning Report Submitted in partial fulfilment of the requirements for the award of the degree</w:t>
      </w:r>
    </w:p>
    <w:p w14:paraId="4983AA5B" w14:textId="77777777" w:rsidR="00525F2B" w:rsidRDefault="00525F2B" w:rsidP="00F916E9">
      <w:pPr>
        <w:rPr>
          <w:rFonts w:eastAsia="Times New Roman"/>
          <w:i/>
          <w:iCs/>
          <w:color w:val="000000"/>
          <w:sz w:val="26"/>
          <w:szCs w:val="26"/>
          <w:lang w:val="en-IN" w:eastAsia="en-IN" w:bidi="hi-IN"/>
        </w:rPr>
      </w:pPr>
    </w:p>
    <w:p w14:paraId="2271648A" w14:textId="674D0006" w:rsidR="00F916E9" w:rsidRPr="00F916E9" w:rsidRDefault="00F916E9" w:rsidP="00F916E9">
      <w:pPr>
        <w:jc w:val="center"/>
        <w:rPr>
          <w:rFonts w:eastAsia="Times New Roman"/>
          <w:color w:val="000000"/>
          <w:sz w:val="26"/>
          <w:szCs w:val="26"/>
          <w:lang w:val="en-IN" w:eastAsia="en-IN" w:bidi="hi-IN"/>
        </w:rPr>
      </w:pPr>
      <w:r>
        <w:rPr>
          <w:rFonts w:ascii="Times New Roman" w:hAnsi="Times New Roman"/>
          <w:sz w:val="26"/>
        </w:rPr>
        <w:t>of</w:t>
      </w:r>
    </w:p>
    <w:p w14:paraId="5E24AF07" w14:textId="77777777" w:rsidR="00F916E9" w:rsidRPr="00F916E9" w:rsidRDefault="00F916E9" w:rsidP="00F916E9">
      <w:pPr>
        <w:rPr>
          <w:rFonts w:ascii="Calibri" w:eastAsia="Times New Roman" w:hAnsi="Calibri" w:cs="Calibri"/>
          <w:color w:val="000000"/>
          <w:sz w:val="28"/>
          <w:szCs w:val="28"/>
          <w:lang w:val="en-IN" w:eastAsia="en-IN" w:bidi="hi-IN"/>
        </w:rPr>
      </w:pPr>
    </w:p>
    <w:p w14:paraId="3B8CC032" w14:textId="3D4D94B9" w:rsidR="00C2231F" w:rsidRDefault="00525F2B" w:rsidP="00F916E9">
      <w:pPr>
        <w:pStyle w:val="Default"/>
        <w:spacing w:after="200" w:line="360" w:lineRule="auto"/>
        <w:jc w:val="center"/>
        <w:rPr>
          <w:rFonts w:eastAsia="Times New Roman"/>
          <w:b/>
          <w:bCs/>
          <w:sz w:val="28"/>
          <w:szCs w:val="28"/>
          <w:lang w:bidi="hi-IN"/>
        </w:rPr>
      </w:pPr>
      <w:r>
        <w:rPr>
          <w:rFonts w:ascii="Times New Roman" w:hAnsi="Times New Roman"/>
          <w:b/>
          <w:sz w:val="28"/>
        </w:rPr>
        <w:t>Bachelor of Technology</w:t>
      </w:r>
    </w:p>
    <w:p w14:paraId="2E42833D" w14:textId="5F0A3BF0" w:rsidR="00F916E9" w:rsidRPr="00F916E9" w:rsidRDefault="00F916E9" w:rsidP="00F916E9">
      <w:pPr>
        <w:pStyle w:val="Default"/>
        <w:spacing w:after="200" w:line="360" w:lineRule="auto"/>
        <w:jc w:val="center"/>
        <w:rPr>
          <w:sz w:val="34"/>
          <w:szCs w:val="34"/>
        </w:rPr>
      </w:pPr>
      <w:r>
        <w:rPr>
          <w:rFonts w:ascii="Times New Roman" w:hAnsi="Times New Roman"/>
          <w:sz w:val="26"/>
        </w:rPr>
        <w:t>in Department of Computer Science and Engineering</w:t>
      </w:r>
    </w:p>
    <w:p w14:paraId="75056B71" w14:textId="581B9BA0" w:rsidR="003D51F0" w:rsidRPr="00190CA9" w:rsidRDefault="003D51F0" w:rsidP="00C2231F">
      <w:pPr>
        <w:pStyle w:val="Default"/>
        <w:spacing w:after="120" w:line="240" w:lineRule="exact"/>
        <w:jc w:val="center"/>
        <w:rPr>
          <w:b/>
          <w:bCs/>
          <w:color w:val="FF0000"/>
          <w:sz w:val="28"/>
          <w:szCs w:val="28"/>
        </w:rPr>
      </w:pPr>
      <w:r>
        <w:rPr>
          <w:rFonts w:ascii="Times New Roman" w:hAnsi="Times New Roman"/>
          <w:b/>
          <w:sz w:val="24"/>
        </w:rPr>
        <w:t>Course: Database Management Systems (Course Code: 23CS2101R)</w:t>
      </w:r>
    </w:p>
    <w:p w14:paraId="26E5A287" w14:textId="77777777" w:rsidR="003D51F0" w:rsidRDefault="003D51F0" w:rsidP="00C2231F">
      <w:pPr>
        <w:pStyle w:val="Default"/>
        <w:spacing w:after="120" w:line="240" w:lineRule="exact"/>
        <w:jc w:val="center"/>
        <w:rPr>
          <w:sz w:val="28"/>
          <w:szCs w:val="28"/>
        </w:rPr>
      </w:pPr>
    </w:p>
    <w:p w14:paraId="66A3059B" w14:textId="28BCFB67" w:rsidR="00C2231F" w:rsidRDefault="00AD0A38" w:rsidP="00C2231F">
      <w:pPr>
        <w:pStyle w:val="Default"/>
        <w:spacing w:after="120" w:line="240" w:lineRule="exact"/>
        <w:jc w:val="center"/>
        <w:rPr>
          <w:sz w:val="28"/>
          <w:szCs w:val="28"/>
        </w:rPr>
      </w:pPr>
      <w:r>
        <w:rPr>
          <w:rFonts w:ascii="Times New Roman" w:hAnsi="Times New Roman"/>
          <w:b/>
          <w:sz w:val="24"/>
        </w:rPr>
        <w:t>Submitted by</w:t>
      </w:r>
    </w:p>
    <w:p w14:paraId="3C5BECF8" w14:textId="226B03D2" w:rsidR="00AD0A38" w:rsidRPr="008B5E6E" w:rsidRDefault="00AD0A38" w:rsidP="00C2231F">
      <w:pPr>
        <w:pStyle w:val="Default"/>
        <w:spacing w:after="120" w:line="240" w:lineRule="exact"/>
        <w:jc w:val="center"/>
        <w:rPr>
          <w:b/>
          <w:bCs/>
          <w:sz w:val="28"/>
          <w:szCs w:val="28"/>
        </w:rPr>
      </w:pPr>
      <w:r>
        <w:rPr>
          <w:rFonts w:ascii="Times New Roman" w:hAnsi="Times New Roman"/>
          <w:b/>
          <w:sz w:val="24"/>
        </w:rPr>
        <w:t>Roll No: 2510030025                 NAME: PASULA SHLOKA</w:t>
      </w:r>
    </w:p>
    <w:p w14:paraId="45DAFDB8" w14:textId="131BCDB2" w:rsidR="00AD0A38" w:rsidRPr="008B5E6E" w:rsidRDefault="00AD0A38" w:rsidP="00C2231F">
      <w:pPr>
        <w:pStyle w:val="Default"/>
        <w:spacing w:after="120" w:line="240" w:lineRule="exact"/>
        <w:jc w:val="center"/>
        <w:rPr>
          <w:b/>
          <w:bCs/>
          <w:sz w:val="28"/>
          <w:szCs w:val="28"/>
        </w:rPr>
      </w:pPr>
      <w:r/>
    </w:p>
    <w:p w14:paraId="6A848B25" w14:textId="0161A43D" w:rsidR="00365AA2" w:rsidRPr="008B5E6E" w:rsidRDefault="00365AA2" w:rsidP="00C2231F">
      <w:pPr>
        <w:pStyle w:val="Default"/>
        <w:spacing w:after="120" w:line="240" w:lineRule="exact"/>
        <w:jc w:val="center"/>
        <w:rPr>
          <w:b/>
          <w:bCs/>
          <w:sz w:val="28"/>
          <w:szCs w:val="28"/>
        </w:rPr>
      </w:pPr>
      <w:r/>
    </w:p>
    <w:p w14:paraId="064DA148" w14:textId="77777777" w:rsidR="00C2231F" w:rsidRDefault="00C2231F" w:rsidP="00C2231F">
      <w:pPr>
        <w:pStyle w:val="Default"/>
        <w:spacing w:after="120" w:line="240" w:lineRule="exact"/>
        <w:jc w:val="center"/>
        <w:rPr>
          <w:sz w:val="23"/>
          <w:szCs w:val="23"/>
        </w:rPr>
      </w:pPr>
    </w:p>
    <w:p w14:paraId="6B30FC47" w14:textId="77777777" w:rsidR="00C2231F" w:rsidRPr="004273FB" w:rsidRDefault="00C2231F" w:rsidP="00C2231F">
      <w:pPr>
        <w:pStyle w:val="Default"/>
        <w:spacing w:after="200" w:line="360" w:lineRule="auto"/>
        <w:jc w:val="center"/>
        <w:rPr>
          <w:sz w:val="23"/>
          <w:szCs w:val="23"/>
        </w:rPr>
      </w:pPr>
      <w:r>
        <w:rPr>
          <w:rFonts w:ascii="Times New Roman" w:hAnsi="Times New Roman"/>
          <w:b/>
          <w:sz w:val="24"/>
        </w:rPr>
        <w:t>Under the guidance of</w:t>
      </w:r>
    </w:p>
    <w:p w14:paraId="4B3E09AA" w14:textId="75E10A7E" w:rsidR="00C2231F" w:rsidRPr="00142813" w:rsidRDefault="00AD0A38" w:rsidP="00C2231F">
      <w:pPr>
        <w:pStyle w:val="Default"/>
        <w:spacing w:after="200" w:line="360" w:lineRule="auto"/>
        <w:jc w:val="center"/>
        <w:rPr>
          <w:b/>
          <w:bCs/>
        </w:rPr>
      </w:pPr>
      <w:r>
        <w:rPr>
          <w:rFonts w:ascii="Times New Roman" w:hAnsi="Times New Roman"/>
          <w:sz w:val="24"/>
        </w:rPr>
        <w:t>Dr. K. Srinivas Rao, Professor, Department of CSE</w:t>
      </w:r>
    </w:p>
    <w:p w14:paraId="3D624626" w14:textId="77777777" w:rsidR="003D51F0" w:rsidRPr="004273FB" w:rsidRDefault="003D51F0" w:rsidP="00C2231F">
      <w:pPr>
        <w:pStyle w:val="Default"/>
        <w:spacing w:after="200" w:line="360" w:lineRule="auto"/>
        <w:jc w:val="center"/>
        <w:rPr>
          <w:b/>
          <w:bCs/>
          <w:sz w:val="23"/>
          <w:szCs w:val="23"/>
        </w:rPr>
      </w:pPr>
    </w:p>
    <w:p w14:paraId="2605953A" w14:textId="3DB104C7" w:rsidR="00C2231F" w:rsidRDefault="003D51F0" w:rsidP="00C2231F">
      <w:pPr>
        <w:pStyle w:val="Default"/>
        <w:spacing w:after="200" w:line="360" w:lineRule="auto"/>
        <w:jc w:val="center"/>
        <w:rPr>
          <w:b/>
          <w:bCs/>
          <w:sz w:val="23"/>
          <w:szCs w:val="23"/>
        </w:rPr>
      </w:pPr>
      <w:r>
        <w:rPr>
          <w:noProof/>
        </w:rPr>
        <w:drawing>
          <wp:inline distT="0" distB="0" distL="0" distR="0" wp14:anchorId="4B11260D" wp14:editId="743FC55C">
            <wp:extent cx="2606040" cy="956845"/>
            <wp:effectExtent l="0" t="0" r="3810" b="0"/>
            <wp:docPr id="1026" name="Picture 2">
              <a:extLst xmlns:a="http://schemas.openxmlformats.org/drawingml/2006/main">
                <a:ext uri="{FF2B5EF4-FFF2-40B4-BE49-F238E27FC236}">
                  <a16:creationId xmlns:a16="http://schemas.microsoft.com/office/drawing/2014/main" id="{9ACD8694-C544-8D7F-F981-577154B58A8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a:extLst>
                        <a:ext uri="{FF2B5EF4-FFF2-40B4-BE49-F238E27FC236}">
                          <a16:creationId xmlns:a16="http://schemas.microsoft.com/office/drawing/2014/main" id="{9ACD8694-C544-8D7F-F981-577154B58A85}"/>
                        </a:ext>
                      </a:extLst>
                    </pic:cNvPr>
                    <pic:cNvPicPr>
                      <a:picLocks noChangeAspect="1" noChangeArrowheads="1"/>
                    </pic:cNvPicPr>
                  </pic:nvPicPr>
                  <pic:blipFill rotWithShape="1">
                    <a:blip r:embed="rId8">
                      <a:extLst>
                        <a:ext uri="{28A0092B-C50C-407E-A947-70E740481C1C}">
                          <a14:useLocalDpi xmlns:a14="http://schemas.microsoft.com/office/drawing/2010/main" val="0"/>
                        </a:ext>
                      </a:extLst>
                    </a:blip>
                    <a:srcRect t="38755" b="11848"/>
                    <a:stretch/>
                  </pic:blipFill>
                  <pic:spPr bwMode="auto">
                    <a:xfrm>
                      <a:off x="0" y="0"/>
                      <a:ext cx="2644080" cy="970812"/>
                    </a:xfrm>
                    <a:prstGeom prst="rect">
                      <a:avLst/>
                    </a:prstGeom>
                    <a:noFill/>
                  </pic:spPr>
                </pic:pic>
              </a:graphicData>
            </a:graphic>
          </wp:inline>
        </w:drawing>
      </w:r>
    </w:p>
    <w:p w14:paraId="21F3C445" w14:textId="77777777" w:rsidR="003D51F0" w:rsidRPr="004273FB" w:rsidRDefault="003D51F0" w:rsidP="00C2231F">
      <w:pPr>
        <w:pStyle w:val="Default"/>
        <w:spacing w:after="200" w:line="360" w:lineRule="auto"/>
        <w:jc w:val="center"/>
        <w:rPr>
          <w:b/>
          <w:bCs/>
          <w:sz w:val="23"/>
          <w:szCs w:val="23"/>
        </w:rPr>
      </w:pPr>
    </w:p>
    <w:p w14:paraId="3F3A9D13" w14:textId="2E40CA0E" w:rsidR="00C2231F" w:rsidRPr="004273FB" w:rsidRDefault="00C2231F" w:rsidP="00C2231F">
      <w:pPr>
        <w:pStyle w:val="Default"/>
        <w:spacing w:after="200" w:line="360" w:lineRule="auto"/>
        <w:jc w:val="center"/>
        <w:rPr>
          <w:sz w:val="23"/>
          <w:szCs w:val="23"/>
        </w:rPr>
      </w:pPr>
      <w:r>
        <w:rPr>
          <w:rFonts w:ascii="Times New Roman" w:hAnsi="Times New Roman"/>
          <w:b/>
          <w:sz w:val="24"/>
        </w:rPr>
        <w:t>Department of Computer Science and Engineering</w:t>
      </w:r>
    </w:p>
    <w:p w14:paraId="46A8B4EC" w14:textId="061FA85C" w:rsidR="00C2231F" w:rsidRPr="004273FB" w:rsidRDefault="003D51F0" w:rsidP="00C2231F">
      <w:pPr>
        <w:pStyle w:val="Default"/>
        <w:spacing w:after="200" w:line="360" w:lineRule="auto"/>
        <w:jc w:val="center"/>
        <w:rPr>
          <w:sz w:val="23"/>
          <w:szCs w:val="23"/>
        </w:rPr>
      </w:pPr>
      <w:r>
        <w:rPr>
          <w:rFonts w:ascii="Times New Roman" w:hAnsi="Times New Roman"/>
          <w:sz w:val="24"/>
        </w:rPr>
        <w:t>Koneru Lakshmaiah Education Foundation</w:t>
      </w:r>
    </w:p>
    <w:p w14:paraId="5131A577" w14:textId="2EC61D1C" w:rsidR="00C2231F" w:rsidRPr="004273FB" w:rsidRDefault="003D51F0" w:rsidP="00C2231F">
      <w:pPr>
        <w:pStyle w:val="Default"/>
        <w:spacing w:after="200" w:line="360" w:lineRule="auto"/>
        <w:jc w:val="center"/>
        <w:rPr>
          <w:sz w:val="23"/>
          <w:szCs w:val="23"/>
        </w:rPr>
      </w:pPr>
      <w:r>
        <w:rPr>
          <w:rFonts w:ascii="Times New Roman" w:hAnsi="Times New Roman"/>
          <w:sz w:val="24"/>
        </w:rPr>
        <w:t>Aziz Nagar, Hyderabad – 500075</w:t>
      </w:r>
    </w:p>
    <w:p w14:paraId="12F3081D" w14:textId="6A50CD01" w:rsidR="008D3342" w:rsidRDefault="00D05559" w:rsidP="00C2231F">
      <w:pPr>
        <w:spacing w:line="360" w:lineRule="auto"/>
        <w:jc w:val="center"/>
        <w:rPr>
          <w:sz w:val="23"/>
          <w:szCs w:val="23"/>
        </w:rPr>
        <w:sectPr w:rsidR="008D3342" w:rsidSect="00575EB3">
          <w:footerReference w:type="first" r:id="rId9"/>
          <w:type w:val="continuous"/>
          <w:pgSz w:w="11906" w:h="16838" w:code="9"/>
          <w:pgMar w:top="450" w:right="893" w:bottom="1440" w:left="893" w:header="720" w:footer="720" w:gutter="0"/>
          <w:cols w:space="720"/>
          <w:docGrid w:linePitch="360"/>
        </w:sectPr>
      </w:pPr>
      <w:r>
        <w:rPr>
          <w:rFonts w:ascii="Times New Roman" w:hAnsi="Times New Roman"/>
          <w:b/>
          <w:sz w:val="24"/>
        </w:rPr>
        <w:t>FEB - 2025</w:t>
      </w:r>
    </w:p>
    <w:p>
      <w:pPr>
        <w:spacing w:line="360" w:lineRule="auto" w:before="240" w:after="240"/>
        <w:jc w:val="center"/>
      </w:pPr>
      <w:r>
        <w:rPr>
          <w:rFonts w:ascii="Times New Roman" w:hAnsi="Times New Roman"/>
          <w:b/>
          <w:sz w:val="30"/>
        </w:rPr>
        <w:t>Abstract</w:t>
      </w:r>
    </w:p>
    <w:p>
      <w:pPr>
        <w:spacing w:line="360" w:lineRule="auto" w:before="240" w:after="240"/>
        <w:jc w:val="left"/>
      </w:pPr>
      <w:r>
        <w:rPr>
          <w:rFonts w:ascii="Times New Roman" w:hAnsi="Times New Roman"/>
          <w:b/>
          <w:sz w:val="26"/>
        </w:rPr>
        <w:t>List of Figures</w:t>
      </w:r>
    </w:p>
    <w:p>
      <w:pPr>
        <w:spacing w:line="360" w:lineRule="auto"/>
      </w:pPr>
      <w:r>
        <w:rPr>
          <w:rFonts w:ascii="Times New Roman" w:hAnsi="Times New Roman"/>
          <w:sz w:val="22"/>
        </w:rPr>
        <w:t>Figure 1: Architectural Workflow of the KL EduConnect Full-Stack Platform............ 4</w:t>
      </w:r>
    </w:p>
    <w:p>
      <w:pPr>
        <w:spacing w:line="360" w:lineRule="auto" w:before="240" w:after="240"/>
        <w:jc w:val="left"/>
      </w:pPr>
      <w:r>
        <w:rPr>
          <w:rFonts w:ascii="Times New Roman" w:hAnsi="Times New Roman"/>
          <w:b/>
          <w:sz w:val="26"/>
        </w:rPr>
        <w:t>List of Tables</w:t>
      </w:r>
    </w:p>
    <w:p>
      <w:pPr>
        <w:spacing w:line="360" w:lineRule="auto"/>
      </w:pPr>
      <w:r>
        <w:rPr>
          <w:rFonts w:ascii="Times New Roman" w:hAnsi="Times New Roman"/>
          <w:sz w:val="22"/>
        </w:rPr>
        <w:t>Table 1: End-to-End Latency and Delivery Success Rates Across Multi-Channel OTP Gateways 13</w:t>
      </w:r>
    </w:p>
    <w:p>
      <w:pPr>
        <w:spacing w:line="360" w:lineRule="auto"/>
      </w:pPr>
      <w:r>
        <w:rPr>
          <w:rFonts w:ascii="Times New Roman" w:hAnsi="Times New Roman"/>
          <w:sz w:val="22"/>
        </w:rPr>
        <w:t>Table 2: PostgreSQL Relational Query Latency (P50, P95, P99) Under Concurrent Cohort Load 14</w:t>
      </w:r>
    </w:p>
    <w:p>
      <w:pPr>
        <w:spacing w:line="360" w:lineRule="auto"/>
      </w:pPr>
      <w:r>
        <w:rPr>
          <w:rFonts w:ascii="Times New Roman" w:hAnsi="Times New Roman"/>
          <w:sz w:val="22"/>
        </w:rPr>
        <w:t>Table 3: Section-Wise Academic Attendance and Engagement Statistics (Sections A1–A7). 15</w:t>
      </w:r>
    </w:p>
    <w:p>
      <w:pPr>
        <w:spacing w:line="360" w:lineRule="auto"/>
      </w:pPr>
      <w:r>
        <w:rPr>
          <w:rFonts w:ascii="Times New Roman" w:hAnsi="Times New Roman"/>
          <w:sz w:val="22"/>
        </w:rPr>
        <w:t>Table 4: Daily Vibe Sentiment Aggregation and Emotional Distribution (297 Responses). 16</w:t>
      </w:r>
    </w:p>
    <w:p>
      <w:pPr>
        <w:spacing w:line="360" w:lineRule="auto"/>
      </w:pPr>
      <w:r>
        <w:rPr>
          <w:rFonts w:ascii="Times New Roman" w:hAnsi="Times New Roman"/>
          <w:sz w:val="22"/>
        </w:rPr>
        <w:t>Table 5: Feature Comparison of KL EduConnect vs. Conventional Academic Portals....... 17</w:t>
      </w:r>
    </w:p>
    <w:p>
      <w:pPr>
        <w:spacing w:line="360" w:lineRule="auto" w:before="240" w:after="240"/>
        <w:jc w:val="left"/>
      </w:pPr>
      <w:r>
        <w:rPr>
          <w:rFonts w:ascii="Times New Roman" w:hAnsi="Times New Roman"/>
          <w:b/>
          <w:sz w:val="26"/>
        </w:rPr>
        <w:t>Table of Contents</w:t>
      </w:r>
    </w:p>
    <w:p>
      <w:pPr>
        <w:spacing w:line="360" w:lineRule="auto"/>
      </w:pPr>
      <w:r>
        <w:rPr>
          <w:rFonts w:ascii="Times New Roman" w:hAnsi="Times New Roman"/>
          <w:sz w:val="22"/>
        </w:rPr>
        <w:t>Figure 4: Daily Vibe Sentiment Distribution Dashboard Across CSE 2nd Year Cohorts (N=297) 10</w:t>
      </w:r>
    </w:p>
    <w:p>
      <w:pPr>
        <w:spacing w:line="360" w:lineRule="auto"/>
      </w:pPr>
      <w:r>
        <w:rPr>
          <w:rFonts w:ascii="Times New Roman" w:hAnsi="Times New Roman"/>
          <w:sz w:val="22"/>
        </w:rPr>
        <w:t>Figure 5: API Response Latency Under Load and Multi-Channel OTP Delivery Reliability. 12</w:t>
      </w:r>
    </w:p>
    <w:p>
      <w:pPr>
        <w:spacing w:line="360" w:lineRule="auto"/>
        <w:jc w:val="both"/>
      </w:pPr>
      <w:r/>
    </w:p>
    <w:p w14:paraId="6ED9F73B" w14:textId="77777777" w:rsidR="008D3342" w:rsidRDefault="008D3342" w:rsidP="008D3342">
      <w:pPr>
        <w:spacing w:line="360" w:lineRule="auto" w:before="160"/>
        <w:jc w:val="both"/>
        <w:rPr>
          <w:b/>
          <w:bCs/>
          <w:kern w:val="48"/>
          <w:sz w:val="30"/>
          <w:szCs w:val="30"/>
        </w:rPr>
        <w:sectPr w:rsidR="008D3342" w:rsidSect="008D3342">
          <w:pgSz w:w="11906" w:h="16838" w:code="9"/>
          <w:pgMar w:top="450" w:right="893" w:bottom="1440" w:left="893" w:header="720" w:footer="720" w:gutter="0"/>
          <w:cols w:space="720"/>
          <w:docGrid w:linePitch="360"/>
        </w:sectPr>
      </w:pPr>
      <w:r>
        <w:rPr>
          <w:rFonts w:ascii="Times New Roman" w:hAnsi="Times New Roman"/>
          <w:b/>
          <w:i/>
          <w:sz w:val="21"/>
        </w:rPr>
        <w:t>Keywords: Academic Management System, 3D Smart Badge, Dual-Axis Parallax Tilt, Cryptographic OTP Gateway, Daily Vibe Sentiment, PostgreSQL Relational Schema, Multi-Channel Notification.</w:t>
      </w:r>
    </w:p>
    <w:p w14:paraId="422E35CA" w14:textId="77777777" w:rsidR="008D3342" w:rsidRDefault="008D3342" w:rsidP="008D3342">
      <w:pPr>
        <w:spacing w:line="360" w:lineRule="auto"/>
        <w:rPr>
          <w:b/>
          <w:bCs/>
          <w:kern w:val="48"/>
          <w:sz w:val="26"/>
          <w:szCs w:val="26"/>
        </w:rPr>
        <w:sectPr w:rsidR="008D3342" w:rsidSect="008D3342">
          <w:pgSz w:w="11906" w:h="16838" w:code="9"/>
          <w:pgMar w:top="450" w:right="893" w:bottom="1440" w:left="893" w:header="720" w:footer="720" w:gutter="0"/>
          <w:cols w:space="720"/>
          <w:docGrid w:linePitch="360"/>
        </w:sectPr>
      </w:pPr>
      <w:r w:rsidRPr="004C77CF">
        <w:rPr>
          <w:b/>
          <w:bCs/>
          <w:kern w:val="48"/>
          <w:sz w:val="26"/>
          <w:szCs w:val="26"/>
        </w:rPr>
        <w:lastRenderedPageBreak/>
        <w:t>List of Figures</w:t>
      </w:r>
    </w:p>
    <w:p w14:paraId="67AB3FC4" w14:textId="77777777" w:rsidR="008D3342" w:rsidRDefault="008D3342" w:rsidP="008D3342">
      <w:pPr>
        <w:spacing w:line="360" w:lineRule="auto"/>
        <w:rPr>
          <w:b/>
          <w:bCs/>
          <w:kern w:val="48"/>
          <w:sz w:val="26"/>
          <w:szCs w:val="26"/>
        </w:rPr>
        <w:sectPr w:rsidR="008D3342" w:rsidSect="008D3342">
          <w:pgSz w:w="11906" w:h="16838" w:code="9"/>
          <w:pgMar w:top="450" w:right="893" w:bottom="1440" w:left="893" w:header="720" w:footer="720" w:gutter="0"/>
          <w:cols w:space="720"/>
          <w:docGrid w:linePitch="360"/>
        </w:sectPr>
      </w:pPr>
    </w:p>
    <w:p w14:paraId="01D25523" w14:textId="77777777" w:rsidR="008D3342" w:rsidRDefault="008D3342" w:rsidP="008D3342">
      <w:pPr>
        <w:spacing w:line="360" w:lineRule="auto"/>
        <w:rPr>
          <w:b/>
          <w:bCs/>
          <w:kern w:val="48"/>
          <w:sz w:val="26"/>
          <w:szCs w:val="26"/>
        </w:rPr>
        <w:sectPr w:rsidR="008D3342" w:rsidSect="008044EF">
          <w:type w:val="continuous"/>
          <w:pgSz w:w="11906" w:h="16838" w:code="9"/>
          <w:pgMar w:top="1080" w:right="907" w:bottom="1440" w:left="907" w:header="720" w:footer="720" w:gutter="0"/>
          <w:cols w:space="360"/>
          <w:docGrid w:linePitch="360"/>
        </w:sectPr>
      </w:pPr>
      <w:r w:rsidRPr="004C77CF">
        <w:rPr>
          <w:b/>
          <w:bCs/>
          <w:kern w:val="48"/>
          <w:sz w:val="26"/>
          <w:szCs w:val="26"/>
        </w:rPr>
        <w:t>List of Tables</w:t>
      </w:r>
    </w:p>
    <w:p w14:paraId="3A9BB86D" w14:textId="77777777" w:rsidR="008D3342" w:rsidRDefault="008D3342" w:rsidP="008D3342">
      <w:pPr>
        <w:spacing w:line="360" w:lineRule="auto"/>
        <w:rPr>
          <w:b/>
          <w:bCs/>
          <w:kern w:val="48"/>
          <w:sz w:val="26"/>
          <w:szCs w:val="26"/>
        </w:rPr>
        <w:sectPr w:rsidR="008D3342" w:rsidSect="008D3342">
          <w:pgSz w:w="11906" w:h="16838" w:code="9"/>
          <w:pgMar w:top="1080" w:right="907" w:bottom="1440" w:left="907" w:header="720" w:footer="720" w:gutter="0"/>
          <w:cols w:space="360"/>
          <w:docGrid w:linePitch="360"/>
        </w:sectPr>
      </w:pPr>
      <w:r w:rsidRPr="008D3342">
        <w:rPr>
          <w:b/>
          <w:bCs/>
          <w:kern w:val="48"/>
          <w:sz w:val="26"/>
          <w:szCs w:val="26"/>
        </w:rPr>
        <w:lastRenderedPageBreak/>
        <w:t>Table of Contents</w:t>
      </w:r>
    </w:p>
    <w:p>
      <w:pPr>
        <w:spacing w:line="312" w:lineRule="auto" w:before="20" w:after="20"/>
      </w:pPr>
      <w:r>
        <w:rPr>
          <w:rFonts w:ascii="Times New Roman" w:hAnsi="Times New Roman"/>
          <w:sz w:val="21"/>
        </w:rPr>
        <w:t>Abstract............................................................................. i</w:t>
      </w:r>
    </w:p>
    <w:p>
      <w:pPr>
        <w:spacing w:line="312" w:lineRule="auto" w:before="20" w:after="20"/>
      </w:pPr>
      <w:r>
        <w:rPr>
          <w:rFonts w:ascii="Times New Roman" w:hAnsi="Times New Roman"/>
          <w:sz w:val="21"/>
        </w:rPr>
        <w:t>List of Figures...................................................................... ii</w:t>
      </w:r>
    </w:p>
    <w:p>
      <w:pPr>
        <w:spacing w:line="312" w:lineRule="auto" w:before="20" w:after="20"/>
      </w:pPr>
      <w:r>
        <w:rPr>
          <w:rFonts w:ascii="Times New Roman" w:hAnsi="Times New Roman"/>
          <w:sz w:val="21"/>
        </w:rPr>
        <w:t>List of Tables....................................................................... iii</w:t>
      </w:r>
    </w:p>
    <w:p>
      <w:pPr>
        <w:spacing w:line="312" w:lineRule="auto" w:before="20" w:after="20"/>
      </w:pPr>
      <w:r>
        <w:rPr>
          <w:rFonts w:ascii="Times New Roman" w:hAnsi="Times New Roman"/>
          <w:sz w:val="21"/>
        </w:rPr>
        <w:t>1. Introduction...................................................................... 1</w:t>
      </w:r>
    </w:p>
    <w:p>
      <w:pPr>
        <w:spacing w:line="312" w:lineRule="auto" w:before="20" w:after="20"/>
      </w:pPr>
      <w:r>
        <w:rPr>
          <w:rFonts w:ascii="Times New Roman" w:hAnsi="Times New Roman"/>
          <w:sz w:val="21"/>
        </w:rPr>
        <w:t xml:space="preserve">    1.1 Institutional Background &amp; Educational Paradigm Shift........................ 1</w:t>
      </w:r>
    </w:p>
    <w:p>
      <w:pPr>
        <w:spacing w:line="312" w:lineRule="auto" w:before="20" w:after="20"/>
      </w:pPr>
      <w:r>
        <w:rPr>
          <w:rFonts w:ascii="Times New Roman" w:hAnsi="Times New Roman"/>
          <w:sz w:val="21"/>
        </w:rPr>
        <w:t xml:space="preserve">    1.2 Problem Statement &amp; Current LMS Deficiencies................................. 1</w:t>
      </w:r>
    </w:p>
    <w:p>
      <w:pPr>
        <w:spacing w:line="312" w:lineRule="auto" w:before="20" w:after="20"/>
      </w:pPr>
      <w:r>
        <w:rPr>
          <w:rFonts w:ascii="Times New Roman" w:hAnsi="Times New Roman"/>
          <w:sz w:val="21"/>
        </w:rPr>
        <w:t xml:space="preserve">    1.3 Proposed System Architecture &amp; Design Philosophy............................. 2</w:t>
      </w:r>
    </w:p>
    <w:p>
      <w:pPr>
        <w:spacing w:line="312" w:lineRule="auto" w:before="20" w:after="20"/>
      </w:pPr>
      <w:r>
        <w:rPr>
          <w:rFonts w:ascii="Times New Roman" w:hAnsi="Times New Roman"/>
          <w:sz w:val="21"/>
        </w:rPr>
        <w:t xml:space="preserve">    1.4 Key Engineering Contributions................................................ 3</w:t>
      </w:r>
    </w:p>
    <w:p>
      <w:pPr>
        <w:spacing w:line="312" w:lineRule="auto" w:before="20" w:after="20"/>
      </w:pPr>
      <w:r>
        <w:rPr>
          <w:rFonts w:ascii="Times New Roman" w:hAnsi="Times New Roman"/>
          <w:sz w:val="21"/>
        </w:rPr>
        <w:t xml:space="preserve">    1.5 Organization of the Report................................................... 3</w:t>
      </w:r>
    </w:p>
    <w:p>
      <w:pPr>
        <w:spacing w:line="312" w:lineRule="auto" w:before="20" w:after="20"/>
      </w:pPr>
      <w:r>
        <w:rPr>
          <w:rFonts w:ascii="Times New Roman" w:hAnsi="Times New Roman"/>
          <w:sz w:val="21"/>
        </w:rPr>
        <w:t>2. Methodology....................................................................... 4</w:t>
      </w:r>
    </w:p>
    <w:p>
      <w:pPr>
        <w:spacing w:line="312" w:lineRule="auto" w:before="20" w:after="20"/>
      </w:pPr>
      <w:r>
        <w:rPr>
          <w:rFonts w:ascii="Times New Roman" w:hAnsi="Times New Roman"/>
          <w:sz w:val="21"/>
        </w:rPr>
        <w:t xml:space="preserve">    2.1 Full-Stack Architectural Design &amp; Technical Stack............................ 4</w:t>
      </w:r>
    </w:p>
    <w:p>
      <w:pPr>
        <w:spacing w:line="312" w:lineRule="auto" w:before="20" w:after="20"/>
      </w:pPr>
      <w:r>
        <w:rPr>
          <w:rFonts w:ascii="Times New Roman" w:hAnsi="Times New Roman"/>
          <w:sz w:val="21"/>
        </w:rPr>
        <w:t xml:space="preserve">    2.2 Interactive 3D Holographic Smart Badge &amp; Dual-Axis Parallax Tilt Engine...... 5</w:t>
      </w:r>
    </w:p>
    <w:p>
      <w:pPr>
        <w:spacing w:line="312" w:lineRule="auto" w:before="20" w:after="20"/>
      </w:pPr>
      <w:r>
        <w:rPr>
          <w:rFonts w:ascii="Times New Roman" w:hAnsi="Times New Roman"/>
          <w:sz w:val="21"/>
        </w:rPr>
        <w:t xml:space="preserve">    2.3 Mobile-Scannable QR Code Matrix &amp; Cryptographic OTP Gateway.................. 7</w:t>
      </w:r>
    </w:p>
    <w:p>
      <w:pPr>
        <w:spacing w:line="312" w:lineRule="auto" w:before="20" w:after="20"/>
      </w:pPr>
      <w:r>
        <w:rPr>
          <w:rFonts w:ascii="Times New Roman" w:hAnsi="Times New Roman"/>
          <w:sz w:val="21"/>
        </w:rPr>
        <w:t xml:space="preserve">    2.4 Classroom Daily Vibe Sentiment Telemetry &amp; Emotional Pulse Tracking.......... 8</w:t>
      </w:r>
    </w:p>
    <w:p>
      <w:pPr>
        <w:spacing w:line="312" w:lineRule="auto" w:before="20" w:after="20"/>
      </w:pPr>
      <w:r>
        <w:rPr>
          <w:rFonts w:ascii="Times New Roman" w:hAnsi="Times New Roman"/>
          <w:sz w:val="21"/>
        </w:rPr>
        <w:t xml:space="preserve">    2.5 Faculty Multi-Format Submission Engine &amp; Live Evaluation Console............. 9</w:t>
      </w:r>
    </w:p>
    <w:p>
      <w:pPr>
        <w:spacing w:line="312" w:lineRule="auto" w:before="20" w:after="20"/>
      </w:pPr>
      <w:r>
        <w:rPr>
          <w:rFonts w:ascii="Times New Roman" w:hAnsi="Times New Roman"/>
          <w:sz w:val="21"/>
        </w:rPr>
        <w:t xml:space="preserve">    2.6 Relational Database Schema Design &amp; 3NF Normalization........................ 10</w:t>
      </w:r>
    </w:p>
    <w:p>
      <w:pPr>
        <w:spacing w:line="312" w:lineRule="auto" w:before="20" w:after="20"/>
      </w:pPr>
      <w:r>
        <w:rPr>
          <w:rFonts w:ascii="Times New Roman" w:hAnsi="Times New Roman"/>
          <w:sz w:val="21"/>
        </w:rPr>
        <w:t>3. Experiments....................................................................... 11</w:t>
      </w:r>
    </w:p>
    <w:p>
      <w:pPr>
        <w:spacing w:line="312" w:lineRule="auto" w:before="20" w:after="20"/>
      </w:pPr>
      <w:r>
        <w:rPr>
          <w:rFonts w:ascii="Times New Roman" w:hAnsi="Times New Roman"/>
          <w:sz w:val="21"/>
        </w:rPr>
        <w:t xml:space="preserve">    3.1 Experimental Setup &amp; Institutional Cohort Profile............................ 11</w:t>
      </w:r>
    </w:p>
    <w:p>
      <w:pPr>
        <w:spacing w:line="312" w:lineRule="auto" w:before="20" w:after="20"/>
      </w:pPr>
      <w:r>
        <w:rPr>
          <w:rFonts w:ascii="Times New Roman" w:hAnsi="Times New Roman"/>
          <w:sz w:val="21"/>
        </w:rPr>
        <w:t xml:space="preserve">    3.2 Multi-Channel OTP Delivery Latency &amp; Reliability Testing..................... 11</w:t>
      </w:r>
    </w:p>
    <w:p>
      <w:pPr>
        <w:spacing w:line="312" w:lineRule="auto" w:before="20" w:after="20"/>
      </w:pPr>
      <w:r>
        <w:rPr>
          <w:rFonts w:ascii="Times New Roman" w:hAnsi="Times New Roman"/>
          <w:sz w:val="21"/>
        </w:rPr>
        <w:t xml:space="preserve">    3.3 Database Throughput &amp; Query Concurrency Stress Testing....................... 12</w:t>
      </w:r>
    </w:p>
    <w:p>
      <w:pPr>
        <w:spacing w:line="312" w:lineRule="auto" w:before="20" w:after="20"/>
      </w:pPr>
      <w:r>
        <w:rPr>
          <w:rFonts w:ascii="Times New Roman" w:hAnsi="Times New Roman"/>
          <w:sz w:val="21"/>
        </w:rPr>
        <w:t xml:space="preserve">    3.4 Cross-Device Physical QR Scanning Fidelity Testing........................... 12</w:t>
      </w:r>
    </w:p>
    <w:p>
      <w:pPr>
        <w:spacing w:line="312" w:lineRule="auto" w:before="20" w:after="20"/>
      </w:pPr>
      <w:r>
        <w:rPr>
          <w:rFonts w:ascii="Times New Roman" w:hAnsi="Times New Roman"/>
          <w:sz w:val="21"/>
        </w:rPr>
        <w:t>4. Results and Discussion............................................................ 13</w:t>
      </w:r>
    </w:p>
    <w:p>
      <w:pPr>
        <w:spacing w:line="312" w:lineRule="auto" w:before="20" w:after="20"/>
      </w:pPr>
      <w:r>
        <w:rPr>
          <w:rFonts w:ascii="Times New Roman" w:hAnsi="Times New Roman"/>
          <w:sz w:val="21"/>
        </w:rPr>
        <w:t xml:space="preserve">    4.1 OTP Dispatch Latency &amp; Authentication Accuracy............................... 13</w:t>
      </w:r>
    </w:p>
    <w:p>
      <w:pPr>
        <w:spacing w:line="312" w:lineRule="auto" w:before="20" w:after="20"/>
      </w:pPr>
      <w:r>
        <w:rPr>
          <w:rFonts w:ascii="Times New Roman" w:hAnsi="Times New Roman"/>
          <w:sz w:val="21"/>
        </w:rPr>
        <w:t xml:space="preserve">    4.2 Query Execution &amp; Concurrency Benchmarks..................................... 14</w:t>
      </w:r>
    </w:p>
    <w:p>
      <w:pPr>
        <w:spacing w:line="312" w:lineRule="auto" w:before="20" w:after="20"/>
      </w:pPr>
      <w:r>
        <w:rPr>
          <w:rFonts w:ascii="Times New Roman" w:hAnsi="Times New Roman"/>
          <w:sz w:val="21"/>
        </w:rPr>
        <w:t xml:space="preserve">    4.3 Cohort Attendance, Grading, and Vibe Sentiment Insights...................... 15</w:t>
      </w:r>
    </w:p>
    <w:p>
      <w:pPr>
        <w:spacing w:line="312" w:lineRule="auto" w:before="20" w:after="20"/>
      </w:pPr>
      <w:r>
        <w:rPr>
          <w:rFonts w:ascii="Times New Roman" w:hAnsi="Times New Roman"/>
          <w:sz w:val="21"/>
        </w:rPr>
        <w:t xml:space="preserve">    4.4 Comparative System Analysis.................................................. 17</w:t>
      </w:r>
    </w:p>
    <w:p>
      <w:pPr>
        <w:spacing w:line="312" w:lineRule="auto" w:before="20" w:after="20"/>
      </w:pPr>
      <w:r>
        <w:rPr>
          <w:rFonts w:ascii="Times New Roman" w:hAnsi="Times New Roman"/>
          <w:sz w:val="21"/>
        </w:rPr>
        <w:t>5. Conclusion and Future Work........................................................ 18</w:t>
      </w:r>
    </w:p>
    <w:p>
      <w:pPr>
        <w:spacing w:line="312" w:lineRule="auto" w:before="20" w:after="20"/>
      </w:pPr>
      <w:r>
        <w:rPr>
          <w:rFonts w:ascii="Times New Roman" w:hAnsi="Times New Roman"/>
          <w:sz w:val="21"/>
        </w:rPr>
        <w:t xml:space="preserve">    5.1 Conclusion................................................................... 18</w:t>
      </w:r>
    </w:p>
    <w:p>
      <w:pPr>
        <w:spacing w:line="312" w:lineRule="auto" w:before="20" w:after="20"/>
      </w:pPr>
      <w:r>
        <w:rPr>
          <w:rFonts w:ascii="Times New Roman" w:hAnsi="Times New Roman"/>
          <w:sz w:val="21"/>
        </w:rPr>
        <w:t xml:space="preserve">    5.2 Future Roadmap............................................................... 18</w:t>
      </w:r>
    </w:p>
    <w:p>
      <w:pPr>
        <w:spacing w:line="312" w:lineRule="auto" w:before="20" w:after="20"/>
      </w:pPr>
      <w:r>
        <w:rPr>
          <w:rFonts w:ascii="Times New Roman" w:hAnsi="Times New Roman"/>
          <w:sz w:val="21"/>
        </w:rPr>
        <w:t>6. References........................................................................ 19</w:t>
      </w:r>
    </w:p>
    <w:p>
      <w:pPr>
        <w:spacing w:line="360" w:lineRule="auto" w:before="360" w:after="240"/>
        <w:jc w:val="center"/>
      </w:pPr>
      <w:r>
        <w:rPr>
          <w:rFonts w:ascii="Times New Roman" w:hAnsi="Times New Roman"/>
          <w:b/>
          <w:sz w:val="44"/>
        </w:rPr>
        <w:t>KL EDUCONNECT: AN INSTITUTIONAL ACADEMIC INTEGRATION &amp; REAL-TIME DIGITAL LEARNING ECOSYSTEM WITH SECURE PARENT GATEWAY</w:t>
      </w:r>
    </w:p>
    <w:p>
      <w:pPr>
        <w:spacing w:line="360" w:lineRule="auto" w:before="360" w:after="120"/>
        <w:jc w:val="left"/>
      </w:pPr>
      <w:r>
        <w:rPr>
          <w:rFonts w:ascii="Times New Roman" w:hAnsi="Times New Roman"/>
          <w:b/>
          <w:sz w:val="28"/>
        </w:rPr>
        <w:t>1. Introduction</w:t>
      </w:r>
    </w:p>
    <w:p>
      <w:pPr>
        <w:spacing w:line="360" w:lineRule="auto" w:before="240" w:after="80"/>
        <w:jc w:val="left"/>
      </w:pPr>
      <w:r>
        <w:rPr>
          <w:rFonts w:ascii="Times New Roman" w:hAnsi="Times New Roman"/>
          <w:b/>
          <w:sz w:val="24"/>
        </w:rPr>
        <w:t>1.1 Institutional Background &amp; Educational Paradigm Shift</w:t>
      </w:r>
    </w:p>
    <w:p>
      <w:pPr>
        <w:spacing w:line="360" w:lineRule="auto" w:before="0" w:after="80"/>
        <w:jc w:val="both"/>
      </w:pPr>
      <w:r>
        <w:rPr>
          <w:rFonts w:ascii="Times New Roman" w:hAnsi="Times New Roman"/>
          <w:sz w:val="22"/>
        </w:rPr>
        <w:t>In the contemporary landscape of tertiary engineering education, computational infrastructure serves as the primary backbone of academic governance, curriculum delivery, and student lifecycle management. Over the past decade, universities worldwide have progressively transitioned from physical administrative registries to digital Learning Management Systems (LMS) and Campus Management Systems (CMS). However, the rapid proliferation of ad-hoc software tools has engendered substantial institutional fragmentation. In many engineering colleges, including large-scale institutions like Koneru Lakshmaiah Education Foundation (KL Deemed to be University), students and faculty frequently find themselves navigating a disparate array of isolated platforms: legacy enterprise resource planning (ERP) portals for attendance recording, third-party cloud drives for assignment file exchanges, manual identification badges for campus security, and offline channels for faculty mentoring.</w:t>
      </w:r>
    </w:p>
    <w:p>
      <w:pPr>
        <w:spacing w:line="360" w:lineRule="auto" w:before="0" w:after="80"/>
        <w:jc w:val="both"/>
      </w:pPr>
      <w:r>
        <w:rPr>
          <w:rFonts w:ascii="Times New Roman" w:hAnsi="Times New Roman"/>
          <w:sz w:val="22"/>
        </w:rPr>
        <w:t>This technological balkanization introduces acute operational inefficiencies. Faculty members expend excessive instructional time switching between incompatible software environments to record daily attendance, evaluate complex programming submissions, and verify student identity credentials. Simultaneously, students experience profound cognitive overload, frequently missing submission deadlines or remaining unaware of sudden attendance shortfalls due to disconnected user interfaces. Most critically, tertiary institutions have historically relegated parent-guardian communication to an afterthought. While parental engagement is universally acknowledged as a crucial determinant of student retention and emotional well-being, traditional systems rely on quarterly paper mailings or clunky SMS notifications that arrive too late to remediate academic distress.</w:t>
      </w:r>
    </w:p>
    <w:p>
      <w:pPr>
        <w:spacing w:line="360" w:lineRule="auto" w:before="240" w:after="80"/>
        <w:jc w:val="left"/>
      </w:pPr>
      <w:r>
        <w:rPr>
          <w:rFonts w:ascii="Times New Roman" w:hAnsi="Times New Roman"/>
          <w:b/>
          <w:sz w:val="24"/>
        </w:rPr>
        <w:t>1.2 Problem Statement &amp; Current LMS Deficiencies</w:t>
      </w:r>
    </w:p>
    <w:p>
      <w:pPr>
        <w:spacing w:line="360" w:lineRule="auto" w:before="0" w:after="80"/>
        <w:jc w:val="both"/>
      </w:pPr>
      <w:r>
        <w:rPr>
          <w:rFonts w:ascii="Times New Roman" w:hAnsi="Times New Roman"/>
          <w:sz w:val="22"/>
        </w:rPr>
        <w:t>A rigorous audit of existing commercial and open-source academic platforms—such as Moodle, Blackboard Learn, Canvas, and Google Classroom—reveals several critical structural vulnerabilities and architectural bottlenecks when deployed in high-density engineering environments:</w:t>
      </w:r>
    </w:p>
    <w:p>
      <w:pPr>
        <w:spacing w:line="360" w:lineRule="auto" w:before="0" w:after="80"/>
        <w:jc w:val="both"/>
      </w:pPr>
      <w:r>
        <w:rPr>
          <w:rFonts w:ascii="Times New Roman" w:hAnsi="Times New Roman"/>
          <w:sz w:val="22"/>
        </w:rPr>
        <w:t>1. The Identity and Access Dilemma for Parents: Conventional institutional portals either completely exclude parents from real-time data visibility or require parents to register full credentialed accounts (username, complex password, two-factor authentication). In practice, this design fails catastrophically. Parents suffer severe password fatigue, frequently misplace credentials, or coerce students into sharing their accounts, entirely compromising the principle of least privilege and creating immense operational overhead for IT helpdesks. Alternatively, systems that provide public access links expose sensitive academic records to unauthorized third parties, violating data privacy mandates.</w:t>
      </w:r>
    </w:p>
    <w:p>
      <w:pPr>
        <w:spacing w:line="360" w:lineRule="auto" w:before="0" w:after="80"/>
        <w:jc w:val="both"/>
      </w:pPr>
      <w:r>
        <w:rPr>
          <w:rFonts w:ascii="Times New Roman" w:hAnsi="Times New Roman"/>
          <w:sz w:val="22"/>
        </w:rPr>
        <w:t>2. Absence of Real-Time Affective Computing &amp; Classroom Telemetry: Academic performance in intensive technical disciplines such as Data Structures, Database Management Systems, and Machine Learning is intrinsically correlated with psychological resilience, cognitive stress, and emotional engagement. Yet, current LMS solutions treat student attendance as a purely binary construct (present versus absent). They possess zero capability to capture student affective states, leaving instructors blind to escalating student burnout, exam anxiety, or pedagogical fatigue until mid-term exam failures manifest.</w:t>
      </w:r>
    </w:p>
    <w:p>
      <w:pPr>
        <w:spacing w:line="360" w:lineRule="auto" w:before="0" w:after="80"/>
        <w:jc w:val="both"/>
      </w:pPr>
      <w:r>
        <w:rPr>
          <w:rFonts w:ascii="Times New Roman" w:hAnsi="Times New Roman"/>
          <w:sz w:val="22"/>
        </w:rPr>
        <w:t>3. High Friction in Multi-Format Assignment Evaluation: In engineering disciplines, students submit diverse digital artifacts, including relational SQL scripts, embedded systems firmware, machine learning code repositories, slide presentations (PPTX), and analytical reports (PDF). Standard LMS interfaces require faculty to download these submissions locally, launch external desktop viewers, manually assign numerical scores, and upload external comments. This cumbersome workflow induces faculty grading latency, severely delaying the delivery of formative feedback.</w:t>
      </w:r>
    </w:p>
    <w:p>
      <w:pPr>
        <w:spacing w:line="360" w:lineRule="auto" w:before="240" w:after="80"/>
        <w:jc w:val="left"/>
      </w:pPr>
      <w:r>
        <w:rPr>
          <w:rFonts w:ascii="Times New Roman" w:hAnsi="Times New Roman"/>
          <w:b/>
          <w:sz w:val="24"/>
        </w:rPr>
        <w:t>1.3 Proposed System Architecture &amp; Design Philosophy</w:t>
      </w:r>
    </w:p>
    <w:p>
      <w:pPr>
        <w:spacing w:line="360" w:lineRule="auto" w:before="0" w:after="80"/>
        <w:jc w:val="both"/>
      </w:pPr>
      <w:r>
        <w:rPr>
          <w:rFonts w:ascii="Times New Roman" w:hAnsi="Times New Roman"/>
          <w:sz w:val="22"/>
        </w:rPr>
        <w:t>To resolve these foundational shortcomings, this project introduces KL EduConnect, a unified, high-throughput academic integration platform purpose-built for the Department of Computer Science and Engineering at KL University (Aziz Nagar Campus). Guided by the principles of zero-friction authentication, ubiquitous responsive design, affective learning telemetry, and relational schema normalization, KL EduConnect bridges the digital divide connecting students, educators, academic administrators, and parents into a cohesive, synchronized ecosystem.</w:t>
      </w:r>
    </w:p>
    <w:p>
      <w:pPr>
        <w:spacing w:line="360" w:lineRule="auto" w:before="0" w:after="80"/>
        <w:jc w:val="both"/>
      </w:pPr>
      <w:r>
        <w:rPr>
          <w:rFonts w:ascii="Times New Roman" w:hAnsi="Times New Roman"/>
          <w:sz w:val="22"/>
        </w:rPr>
        <w:t>The core philosophy of KL EduConnect is predicated on frictionless transparency and interactive engagement. Rather than forcing parents through cumbersome account registration pipelines, the platform leverages physical smart badges embedded with dual-axis parallax holographic styling and dynamically generated local-network QR matrix codes. Scanning this QR code using any consumer smartphone camera immediately opens an optimized, read-only Parent Snapshot Portal bound to the college local area network (LAN IP: 192.168.1.6:5173). Security is guaranteed through a high-entropy cryptographic One-Time Password (OTP) gateway that generates instantaneous 6-digit verification tokens dispatched across WhatsApp Business API, SMS networks, and push notification relays.</w:t>
      </w:r>
    </w:p>
    <w:p>
      <w:pPr>
        <w:spacing w:line="360" w:lineRule="auto" w:before="240" w:after="80"/>
        <w:jc w:val="left"/>
      </w:pPr>
      <w:r>
        <w:rPr>
          <w:rFonts w:ascii="Times New Roman" w:hAnsi="Times New Roman"/>
          <w:b/>
          <w:sz w:val="24"/>
        </w:rPr>
        <w:t>1.4 Key Engineering Contributions</w:t>
      </w:r>
    </w:p>
    <w:p>
      <w:pPr>
        <w:spacing w:line="360" w:lineRule="auto" w:before="0" w:after="80"/>
        <w:jc w:val="both"/>
      </w:pPr>
      <w:r>
        <w:rPr>
          <w:rFonts w:ascii="Times New Roman" w:hAnsi="Times New Roman"/>
          <w:sz w:val="22"/>
        </w:rPr>
        <w:t>The fundamental engineering contributions of this work are summarized as follows:</w:t>
      </w:r>
    </w:p>
    <w:p>
      <w:pPr>
        <w:spacing w:line="360" w:lineRule="auto" w:before="0" w:after="80"/>
        <w:jc w:val="both"/>
      </w:pPr>
      <w:r>
        <w:rPr>
          <w:rFonts w:ascii="Times New Roman" w:hAnsi="Times New Roman"/>
          <w:sz w:val="22"/>
        </w:rPr>
        <w:t>• 3D Holographic Identity Smart Badge: Developed a hardware-accelerated CSS3D/WebGL dual-axis parallax tilt badge that models dynamic Euler rotation matrices based on cursor coordinates and device gyroscope inputs, rendering holographic iridescent sheen layers and embedding an instant-access QR code.</w:t>
      </w:r>
    </w:p>
    <w:p>
      <w:pPr>
        <w:spacing w:line="360" w:lineRule="auto" w:before="0" w:after="80"/>
        <w:jc w:val="both"/>
      </w:pPr>
      <w:r>
        <w:rPr>
          <w:rFonts w:ascii="Times New Roman" w:hAnsi="Times New Roman"/>
          <w:sz w:val="22"/>
        </w:rPr>
        <w:t>• Cryptographic Multi-Channel Parent Gateway: Engineered a secure HMAC-SHA256 time-bounded OTP authentication subsystem with a 300-second time-to-live (TTL) cache, eliminating permanent parent credentials while enabling instant, multi-channel token delivery (WhatsApp, SMS, ntfy.sh push) and database audit tracking.</w:t>
      </w:r>
    </w:p>
    <w:p>
      <w:pPr>
        <w:spacing w:line="360" w:lineRule="auto" w:before="0" w:after="80"/>
        <w:jc w:val="both"/>
      </w:pPr>
      <w:r>
        <w:rPr>
          <w:rFonts w:ascii="Times New Roman" w:hAnsi="Times New Roman"/>
          <w:sz w:val="22"/>
        </w:rPr>
        <w:t>• Institutional Affective Vibe Meter: Designed a 5-tier psychological telemetry engine ('Daily Vibe Check-in') capturing real-time student sentiments (Energetic, Motivated, Stressed, Tired, Overwhelmed) across seven 2nd-year CSE cohort sections (A1 to A7), providing faculty with instant pedagogical sentiment analytics.</w:t>
      </w:r>
    </w:p>
    <w:p>
      <w:pPr>
        <w:spacing w:line="360" w:lineRule="auto" w:before="0" w:after="80"/>
        <w:jc w:val="both"/>
      </w:pPr>
      <w:r>
        <w:rPr>
          <w:rFonts w:ascii="Times New Roman" w:hAnsi="Times New Roman"/>
          <w:sz w:val="22"/>
        </w:rPr>
        <w:t>• Universal In-Browser Document Grader: Constructed an asynchronous multi-format submission inspection console supporting native preview of Base64 PDFs, presentation decks, SQL scripts, and raw source code alongside dynamic rubric sliders, instantaneous grade commits, and feedback dispatch.</w:t>
      </w:r>
    </w:p>
    <w:p>
      <w:pPr>
        <w:spacing w:line="360" w:lineRule="auto" w:before="0" w:after="80"/>
        <w:jc w:val="both"/>
      </w:pPr>
      <w:r>
        <w:rPr>
          <w:rFonts w:ascii="Times New Roman" w:hAnsi="Times New Roman"/>
          <w:sz w:val="22"/>
        </w:rPr>
        <w:t>• High-Performance Normalized Relational Database: Architected a rigorous Third Normal Form (3NF) PostgreSQL database schema supporting 426 students, 6 departmental courses, 17,892 attendance transactions, and 51 submissions with sub-85ms execution times under concurrent student-faculty loads.</w:t>
      </w:r>
    </w:p>
    <w:p>
      <w:pPr>
        <w:spacing w:line="360" w:lineRule="auto" w:before="240" w:after="80"/>
        <w:jc w:val="left"/>
      </w:pPr>
      <w:r>
        <w:rPr>
          <w:rFonts w:ascii="Times New Roman" w:hAnsi="Times New Roman"/>
          <w:b/>
          <w:sz w:val="24"/>
        </w:rPr>
        <w:t>1.5 Organization of the Report</w:t>
      </w:r>
    </w:p>
    <w:p>
      <w:pPr>
        <w:spacing w:line="360" w:lineRule="auto" w:before="0" w:after="80"/>
        <w:jc w:val="both"/>
      </w:pPr>
      <w:r>
        <w:rPr>
          <w:rFonts w:ascii="Times New Roman" w:hAnsi="Times New Roman"/>
          <w:sz w:val="22"/>
        </w:rPr>
        <w:t>The remainder of this report is organized as follows: Section 2 delineates the comprehensive Methodology, detailing the architectural stack, mathematical formulations for 3D parallax tilt, cryptographic OTP generation, affective sentiment calculation, and relational schema normalization. Section 3 outlines the Experimental setup, cohort demographics, latency profiling protocols, and load testing configurations. Section 4 presents the quantitative Results and comparative evaluations. Finally, Section 5 concludes the report and discusses trajectories for future enhancements.</w:t>
      </w:r>
    </w:p>
    <w:p>
      <w:pPr>
        <w:spacing w:line="360" w:lineRule="auto" w:before="360" w:after="120"/>
        <w:jc w:val="left"/>
      </w:pPr>
      <w:r>
        <w:rPr>
          <w:rFonts w:ascii="Times New Roman" w:hAnsi="Times New Roman"/>
          <w:b/>
          <w:sz w:val="28"/>
        </w:rPr>
        <w:t>2. Methodology</w:t>
      </w:r>
    </w:p>
    <w:p>
      <w:pPr>
        <w:spacing w:line="360" w:lineRule="auto" w:before="240" w:after="80"/>
        <w:jc w:val="left"/>
      </w:pPr>
      <w:r>
        <w:rPr>
          <w:rFonts w:ascii="Times New Roman" w:hAnsi="Times New Roman"/>
          <w:b/>
          <w:sz w:val="24"/>
        </w:rPr>
        <w:t>2.1 Full-Stack Architectural Design &amp; Technical Stack</w:t>
      </w:r>
    </w:p>
    <w:p>
      <w:pPr>
        <w:spacing w:line="360" w:lineRule="auto" w:before="0" w:after="80"/>
        <w:jc w:val="both"/>
      </w:pPr>
      <w:r>
        <w:rPr>
          <w:rFonts w:ascii="Times New Roman" w:hAnsi="Times New Roman"/>
          <w:sz w:val="22"/>
        </w:rPr>
        <w:t>KL EduConnect is architected as a modular, reactive, multi-tier web application adhering to modern clean-architecture principles. The system decouples client presentation from server-side computational microservices and relational persistence layers, as illustrated in Figure 1.</w:t>
      </w:r>
    </w:p>
    <w:p>
      <w:pPr>
        <w:spacing w:before="160" w:after="40"/>
        <w:jc w:val="center"/>
      </w:pPr>
      <w:r>
        <w:drawing>
          <wp:inline xmlns:a="http://schemas.openxmlformats.org/drawingml/2006/main" xmlns:pic="http://schemas.openxmlformats.org/drawingml/2006/picture">
            <wp:extent cx="5852160" cy="3106702"/>
            <wp:docPr id="1027" name="Picture 1027"/>
            <wp:cNvGraphicFramePr>
              <a:graphicFrameLocks noChangeAspect="1"/>
            </wp:cNvGraphicFramePr>
            <a:graphic>
              <a:graphicData uri="http://schemas.openxmlformats.org/drawingml/2006/picture">
                <pic:pic>
                  <pic:nvPicPr>
                    <pic:cNvPr id="0" name="fig1_architecture.png"/>
                    <pic:cNvPicPr/>
                  </pic:nvPicPr>
                  <pic:blipFill>
                    <a:blip r:embed="rId16"/>
                    <a:stretch>
                      <a:fillRect/>
                    </a:stretch>
                  </pic:blipFill>
                  <pic:spPr>
                    <a:xfrm>
                      <a:off x="0" y="0"/>
                      <a:ext cx="5852160" cy="3106702"/>
                    </a:xfrm>
                    <a:prstGeom prst="rect"/>
                  </pic:spPr>
                </pic:pic>
              </a:graphicData>
            </a:graphic>
          </wp:inline>
        </w:drawing>
      </w:r>
    </w:p>
    <w:p>
      <w:pPr>
        <w:spacing w:before="40" w:after="200"/>
        <w:jc w:val="center"/>
      </w:pPr>
      <w:r>
        <w:rPr>
          <w:rFonts w:ascii="Times New Roman" w:hAnsi="Times New Roman"/>
          <w:b/>
          <w:i/>
          <w:sz w:val="19"/>
        </w:rPr>
        <w:t>Figure 1: Architectural Workflow of the KL EduConnect Full-Stack Platform</w:t>
      </w:r>
    </w:p>
    <w:p>
      <w:pPr>
        <w:spacing w:line="360" w:lineRule="auto" w:before="0" w:after="80"/>
        <w:jc w:val="both"/>
      </w:pPr>
      <w:r>
        <w:rPr>
          <w:rFonts w:ascii="Times New Roman" w:hAnsi="Times New Roman"/>
          <w:sz w:val="22"/>
        </w:rPr>
        <w:t>• Client-Side Presentation Tier: The frontend interface is developed using React 18, TypeScript, and Vite, styled using utility-first Tailwind CSS. State synchronization is managed via reactive hook architectures, and visual communication is augmented with Lucide React iconography. The interface incorporates hardware-accelerated CSS 3D transforms, ensuring 60 frames-per-second (FPS) rendering fidelity across desktop and mobile viewports.</w:t>
      </w:r>
    </w:p>
    <w:p>
      <w:pPr>
        <w:spacing w:line="360" w:lineRule="auto" w:before="0" w:after="80"/>
        <w:jc w:val="both"/>
      </w:pPr>
      <w:r>
        <w:rPr>
          <w:rFonts w:ascii="Times New Roman" w:hAnsi="Times New Roman"/>
          <w:sz w:val="22"/>
        </w:rPr>
        <w:t>• Gateway, Security, and Microservices Tier: The application layer is powered by Node.js and Express RESTful endpoints, alongside Python FastAPI microservices for analytical aggregation and document parsing. The gateway coordinates role-based access control (RBAC) across four administrative roles: Student, Faculty, Institutional Admin, and Parent. Security tokens utilize JSON Web Tokens (JWT) for authenticated users and ephemeral HMAC-SHA256 nonces for parent verification.</w:t>
      </w:r>
    </w:p>
    <w:p>
      <w:pPr>
        <w:spacing w:line="360" w:lineRule="auto" w:before="0" w:after="80"/>
        <w:jc w:val="both"/>
      </w:pPr>
      <w:r>
        <w:rPr>
          <w:rFonts w:ascii="Times New Roman" w:hAnsi="Times New Roman"/>
          <w:sz w:val="22"/>
        </w:rPr>
        <w:t>• Persistence &amp; Relational Data Tier: Persistent storage is handled by a PostgreSQL relational database engine operating in Third Normal Form (3NF). The database manages primary keys, composite indices, and cascading foreign keys across core entities, ensuring strict ACID (Atomicity, Consistency, Isolation, Durability) guarantees across concurrent attendance and grading operations.</w:t>
      </w:r>
    </w:p>
    <w:p>
      <w:pPr>
        <w:spacing w:line="360" w:lineRule="auto" w:before="240" w:after="80"/>
        <w:jc w:val="left"/>
      </w:pPr>
      <w:r>
        <w:rPr>
          <w:rFonts w:ascii="Times New Roman" w:hAnsi="Times New Roman"/>
          <w:b/>
          <w:sz w:val="24"/>
        </w:rPr>
        <w:t>2.2 Interactive 3D Holographic Smart Badge &amp; Dual-Axis Parallax Tilt Engine</w:t>
      </w:r>
    </w:p>
    <w:p>
      <w:pPr>
        <w:spacing w:line="360" w:lineRule="auto" w:before="0" w:after="80"/>
        <w:jc w:val="both"/>
      </w:pPr>
      <w:r>
        <w:rPr>
          <w:rFonts w:ascii="Times New Roman" w:hAnsi="Times New Roman"/>
          <w:sz w:val="22"/>
        </w:rPr>
        <w:t>A central user-facing innovation of KL EduConnect is the 3D Holographic Smart Badge. Traditional plastic student identification cards are static and prone to physical loss, while digital cards in standard web portals typically present as flat, uninspiring rectangular graphics. To create a tactile, realistic, and engaging physical-digital bridge, we implemented a dual-axis interactive 3D badge engine, illustrated in Figure 2.</w:t>
      </w:r>
    </w:p>
    <w:p>
      <w:pPr>
        <w:spacing w:before="160" w:after="40"/>
        <w:jc w:val="center"/>
      </w:pPr>
      <w:r>
        <w:drawing>
          <wp:inline xmlns:a="http://schemas.openxmlformats.org/drawingml/2006/main" xmlns:pic="http://schemas.openxmlformats.org/drawingml/2006/picture">
            <wp:extent cx="5669280" cy="3681710"/>
            <wp:docPr id="1028" name="Picture 1028"/>
            <wp:cNvGraphicFramePr>
              <a:graphicFrameLocks noChangeAspect="1"/>
            </wp:cNvGraphicFramePr>
            <a:graphic>
              <a:graphicData uri="http://schemas.openxmlformats.org/drawingml/2006/picture">
                <pic:pic>
                  <pic:nvPicPr>
                    <pic:cNvPr id="0" name="fig2_smart_badge.png"/>
                    <pic:cNvPicPr/>
                  </pic:nvPicPr>
                  <pic:blipFill>
                    <a:blip r:embed="rId17"/>
                    <a:stretch>
                      <a:fillRect/>
                    </a:stretch>
                  </pic:blipFill>
                  <pic:spPr>
                    <a:xfrm>
                      <a:off x="0" y="0"/>
                      <a:ext cx="5669280" cy="3681710"/>
                    </a:xfrm>
                    <a:prstGeom prst="rect"/>
                  </pic:spPr>
                </pic:pic>
              </a:graphicData>
            </a:graphic>
          </wp:inline>
        </w:drawing>
      </w:r>
    </w:p>
    <w:p>
      <w:pPr>
        <w:spacing w:before="40" w:after="200"/>
        <w:jc w:val="center"/>
      </w:pPr>
      <w:r>
        <w:rPr>
          <w:rFonts w:ascii="Times New Roman" w:hAnsi="Times New Roman"/>
          <w:b/>
          <w:i/>
          <w:sz w:val="19"/>
        </w:rPr>
        <w:t>Figure 2: Interactive 3D Holographic Smart Badge with Dual-Axis Parallax Tilt and Phone-Scannable QR Code</w:t>
      </w:r>
    </w:p>
    <w:p>
      <w:pPr>
        <w:spacing w:line="360" w:lineRule="auto" w:before="0" w:after="80"/>
        <w:jc w:val="both"/>
      </w:pPr>
      <w:r>
        <w:rPr>
          <w:rFonts w:ascii="Times New Roman" w:hAnsi="Times New Roman"/>
          <w:sz w:val="22"/>
        </w:rPr>
        <w:t>The 3D tilt engine tracks the user's cursor position (X, Y) relative to the badge bounding bounding box (W, H). The normalized rotational angles Theta_X (pitch) and Theta_Y (roll) are computed using the following kinematic transformation equations:</w:t>
      </w:r>
    </w:p>
    <w:p>
      <w:pPr>
        <w:spacing w:line="360" w:lineRule="auto" w:before="0" w:after="80"/>
        <w:jc w:val="both"/>
      </w:pPr>
      <w:r>
        <w:rPr>
          <w:rFonts w:ascii="Times New Roman" w:hAnsi="Times New Roman"/>
          <w:sz w:val="22"/>
        </w:rPr>
        <w:t xml:space="preserve">    Theta_X = -((Y - Y_center) / (H / 2)) * Max_Tilt_Angle</w:t>
        <w:br/>
        <w:t xml:space="preserve">    Theta_Y = ((X - X_center) / (W / 2)) * Max_Tilt_Angle</w:t>
      </w:r>
    </w:p>
    <w:p>
      <w:pPr>
        <w:spacing w:line="360" w:lineRule="auto" w:before="0" w:after="80"/>
        <w:jc w:val="both"/>
      </w:pPr>
      <w:r>
        <w:rPr>
          <w:rFonts w:ascii="Times New Roman" w:hAnsi="Times New Roman"/>
          <w:sz w:val="22"/>
        </w:rPr>
        <w:t>where Max_Tilt_Angle is constrained to 15.0 degrees to preserve legibility while delivering a pronounced spatial depth effect. The computed Euler angles are interpolated smoothly using CSS matrix3d transformations: transform: perspective(1000px) rotateX(Theta_X deg) rotateY(Theta_Y deg). Simultaneously, an iridescent holographic overlay dynamically recalculates its linear-gradient angle in response to (Theta_X, Theta_Y), simulating the light refraction properties of authentic physical university hologram foils. A flip button allows the card to rotate 180 degrees along the Y-axis, exposing the reverse face which features the emergency contact details, Parent Access PIN (849201), and the scannable high-density QR code matrix.</w:t>
      </w:r>
    </w:p>
    <w:p>
      <w:pPr>
        <w:spacing w:line="360" w:lineRule="auto" w:before="240" w:after="80"/>
        <w:jc w:val="left"/>
      </w:pPr>
      <w:r>
        <w:rPr>
          <w:rFonts w:ascii="Times New Roman" w:hAnsi="Times New Roman"/>
          <w:b/>
          <w:sz w:val="24"/>
        </w:rPr>
        <w:t>2.3 Mobile-Scannable QR Code Matrix &amp; Cryptographic OTP Gateway</w:t>
      </w:r>
    </w:p>
    <w:p>
      <w:pPr>
        <w:spacing w:line="360" w:lineRule="auto" w:before="0" w:after="80"/>
        <w:jc w:val="both"/>
      </w:pPr>
      <w:r>
        <w:rPr>
          <w:rFonts w:ascii="Times New Roman" w:hAnsi="Times New Roman"/>
          <w:sz w:val="22"/>
        </w:rPr>
        <w:t>To solve the parental credential dilemma, the smart badge back face incorporates a dynamically rendered QR code. Unlike typical academic portals that hardcode external cloud URLs requiring Internet logins, the KL EduConnect QR engine dynamically encodes the host machine's physical Local Area Network (LAN) IP address (e.g., http://192.168.1.6:5173/?parent_pin=849201). When any parent scans the card using their native smartphone camera, the browser immediately resolves to the lightweight Parent Quick-Access Snapshot View without requiring prior software installation.</w:t>
      </w:r>
    </w:p>
    <w:p>
      <w:pPr>
        <w:spacing w:before="160" w:after="40"/>
        <w:jc w:val="center"/>
      </w:pPr>
      <w:r>
        <w:drawing>
          <wp:inline xmlns:a="http://schemas.openxmlformats.org/drawingml/2006/main" xmlns:pic="http://schemas.openxmlformats.org/drawingml/2006/picture">
            <wp:extent cx="5852160" cy="1733973"/>
            <wp:docPr id="1029" name="Picture 1029"/>
            <wp:cNvGraphicFramePr>
              <a:graphicFrameLocks noChangeAspect="1"/>
            </wp:cNvGraphicFramePr>
            <a:graphic>
              <a:graphicData uri="http://schemas.openxmlformats.org/drawingml/2006/picture">
                <pic:pic>
                  <pic:nvPicPr>
                    <pic:cNvPr id="0" name="fig3_otp_workflow.png"/>
                    <pic:cNvPicPr/>
                  </pic:nvPicPr>
                  <pic:blipFill>
                    <a:blip r:embed="rId18"/>
                    <a:stretch>
                      <a:fillRect/>
                    </a:stretch>
                  </pic:blipFill>
                  <pic:spPr>
                    <a:xfrm>
                      <a:off x="0" y="0"/>
                      <a:ext cx="5852160" cy="1733973"/>
                    </a:xfrm>
                    <a:prstGeom prst="rect"/>
                  </pic:spPr>
                </pic:pic>
              </a:graphicData>
            </a:graphic>
          </wp:inline>
        </w:drawing>
      </w:r>
    </w:p>
    <w:p>
      <w:pPr>
        <w:spacing w:before="40" w:after="200"/>
        <w:jc w:val="center"/>
      </w:pPr>
      <w:r>
        <w:rPr>
          <w:rFonts w:ascii="Times New Roman" w:hAnsi="Times New Roman"/>
          <w:b/>
          <w:i/>
          <w:sz w:val="19"/>
        </w:rPr>
        <w:t>Figure 3: End-to-End Cryptographic OTP Generation and Multi-Channel Verification Flowchart</w:t>
      </w:r>
    </w:p>
    <w:p>
      <w:pPr>
        <w:spacing w:line="360" w:lineRule="auto" w:before="0" w:after="80"/>
        <w:jc w:val="both"/>
      </w:pPr>
      <w:r>
        <w:rPr>
          <w:rFonts w:ascii="Times New Roman" w:hAnsi="Times New Roman"/>
          <w:sz w:val="22"/>
        </w:rPr>
        <w:t>To ensure impenetrable security and prevent unauthorized access if a physical badge is misplaced, the platform employs a cryptographic One-Time Password (OTP) challenge mechanism, depicted in Figure 3. The verification algorithm proceeds through four mathematical phases:</w:t>
      </w:r>
    </w:p>
    <w:p>
      <w:pPr>
        <w:spacing w:line="360" w:lineRule="auto" w:before="0" w:after="80"/>
        <w:jc w:val="both"/>
      </w:pPr>
      <w:r>
        <w:rPr>
          <w:rFonts w:ascii="Times New Roman" w:hAnsi="Times New Roman"/>
          <w:sz w:val="22"/>
        </w:rPr>
        <w:t>1. Token Derivation: Upon scanning, the parent confirms their mobile number (e.g., +91 6281243287 for student Pasula Shloka). The server generates a pseudo-random 6-digit numeric nonce using a cryptographically secure pseudo-random number generator (CSPRNG): OTP = CSPRNG(100000, 999999).</w:t>
      </w:r>
    </w:p>
    <w:p>
      <w:pPr>
        <w:spacing w:line="360" w:lineRule="auto" w:before="0" w:after="80"/>
        <w:jc w:val="both"/>
      </w:pPr>
      <w:r>
        <w:rPr>
          <w:rFonts w:ascii="Times New Roman" w:hAnsi="Times New Roman"/>
          <w:sz w:val="22"/>
        </w:rPr>
        <w:t>2. Cryptographic Nonce Hashing: The generated token is hashed alongside the student ID and a server secret key using HMAC-SHA256: Hash = HMAC_SHA256(SecretKey, OTP || StudentID || Timestamp). The hash is cached in memory with a strict Time-to-Live (TTL) of 300 seconds (5 minutes).</w:t>
      </w:r>
    </w:p>
    <w:p>
      <w:pPr>
        <w:spacing w:line="360" w:lineRule="auto" w:before="0" w:after="80"/>
        <w:jc w:val="both"/>
      </w:pPr>
      <w:r>
        <w:rPr>
          <w:rFonts w:ascii="Times New Roman" w:hAnsi="Times New Roman"/>
          <w:sz w:val="22"/>
        </w:rPr>
        <w:t>3. Multi-Channel Dispatch: The OTP is concurrently dispatched through multiple redundant communication channels: (a) WhatsApp Cloud API directly to the parent's phone; (b) SMS text gateway; and (c) an enterprise push notification webhook topic (ntfy.sh/kl-educonnect-parent-alerts). Every dispatch event is recorded in the PostgreSQL audit table 'parent_notifications' with transmission status, channel type, recipient phone, and timestamps.</w:t>
      </w:r>
    </w:p>
    <w:p>
      <w:pPr>
        <w:spacing w:line="360" w:lineRule="auto" w:before="0" w:after="80"/>
        <w:jc w:val="both"/>
      </w:pPr>
      <w:r>
        <w:rPr>
          <w:rFonts w:ascii="Times New Roman" w:hAnsi="Times New Roman"/>
          <w:sz w:val="22"/>
        </w:rPr>
        <w:t>4. Verification and Clearance: The parent enters the 6-digit OTP on their mobile phone. Upon validation against the cached hash, the server grants a single-session read-only clearance token, displaying the student's real-time attendance percentage, exam schedules, and fee clearance status while strictly withholding student password hashes.</w:t>
      </w:r>
    </w:p>
    <w:p>
      <w:pPr>
        <w:spacing w:line="360" w:lineRule="auto" w:before="240" w:after="80"/>
        <w:jc w:val="left"/>
      </w:pPr>
      <w:r>
        <w:rPr>
          <w:rFonts w:ascii="Times New Roman" w:hAnsi="Times New Roman"/>
          <w:b/>
          <w:sz w:val="24"/>
        </w:rPr>
        <w:t>2.4 Classroom Daily Vibe Sentiment Telemetry &amp; Emotional Pulse Tracking</w:t>
      </w:r>
    </w:p>
    <w:p>
      <w:pPr>
        <w:spacing w:line="360" w:lineRule="auto" w:before="0" w:after="80"/>
        <w:jc w:val="both"/>
      </w:pPr>
      <w:r>
        <w:rPr>
          <w:rFonts w:ascii="Times New Roman" w:hAnsi="Times New Roman"/>
          <w:sz w:val="22"/>
        </w:rPr>
        <w:t>Recognizing that academic achievement is inseparable from mental well-being, KL EduConnect integrates a real-time affective computing module: the 'Daily Vibe Check-in'. Upon logging into the student portal, students are prompted to select their immediate psychological state from five standardized emotional tiers: (1) Energetic [Green], (2) Motivated [Blue], (3) Stressed [Amber], (4) Tired [Indigo], and (5) Overwhelmed [Red].</w:t>
      </w:r>
    </w:p>
    <w:p>
      <w:pPr>
        <w:spacing w:line="360" w:lineRule="auto" w:before="0" w:after="80"/>
        <w:jc w:val="both"/>
      </w:pPr>
      <w:r>
        <w:rPr>
          <w:rFonts w:ascii="Times New Roman" w:hAnsi="Times New Roman"/>
          <w:sz w:val="22"/>
        </w:rPr>
        <w:t>The system records daily responses in the 'daily_vibes' table, preventing duplicate check-ins within a 24-hour window via composite primary keys (student_id, date). For institutional administrators and course instructors, the server computes a continuous Institutional Pulse Index (IPI) for each section, defined as:</w:t>
      </w:r>
    </w:p>
    <w:p>
      <w:pPr>
        <w:spacing w:line="360" w:lineRule="auto" w:before="0" w:after="80"/>
        <w:jc w:val="both"/>
      </w:pPr>
      <w:r>
        <w:rPr>
          <w:rFonts w:ascii="Times New Roman" w:hAnsi="Times New Roman"/>
          <w:sz w:val="22"/>
        </w:rPr>
        <w:t xml:space="preserve">    IPI_section = (1.0 * N_energetic + 0.8 * N_motivated + 0.4 * N_tired + 0.2 * N_stressed + 0.0 * N_overwhelmed) / N_total</w:t>
      </w:r>
    </w:p>
    <w:p>
      <w:pPr>
        <w:spacing w:line="360" w:lineRule="auto" w:before="0" w:after="80"/>
        <w:jc w:val="both"/>
      </w:pPr>
      <w:r>
        <w:rPr>
          <w:rFonts w:ascii="Times New Roman" w:hAnsi="Times New Roman"/>
          <w:sz w:val="22"/>
        </w:rPr>
        <w:t>This normalized score (ranging from 0.0 to 1.0) provides department chairs with an early-warning telemetry system, highlighting cohorts experiencing severe cognitive strain prior to examinations or assignment deadlines.</w:t>
      </w:r>
    </w:p>
    <w:p>
      <w:pPr>
        <w:spacing w:line="360" w:lineRule="auto" w:before="240" w:after="80"/>
        <w:jc w:val="left"/>
      </w:pPr>
      <w:r>
        <w:rPr>
          <w:rFonts w:ascii="Times New Roman" w:hAnsi="Times New Roman"/>
          <w:b/>
          <w:sz w:val="24"/>
        </w:rPr>
        <w:t>2.5 Faculty Multi-Format Submission Engine &amp; Live Evaluation Console</w:t>
      </w:r>
    </w:p>
    <w:p>
      <w:pPr>
        <w:spacing w:line="360" w:lineRule="auto" w:before="0" w:after="80"/>
        <w:jc w:val="both"/>
      </w:pPr>
      <w:r>
        <w:rPr>
          <w:rFonts w:ascii="Times New Roman" w:hAnsi="Times New Roman"/>
          <w:sz w:val="22"/>
        </w:rPr>
        <w:t>To eliminate the friction of assignment grading, KL EduConnect incorporates an in-browser multi-format document viewer and live evaluation console. When students submit coursework, the backend serializes and stores the digital artifacts as Base64-encoded binary blobs or uniform resource identifiers (URIs) in the database table 'submissions'.</w:t>
      </w:r>
    </w:p>
    <w:p>
      <w:pPr>
        <w:spacing w:line="360" w:lineRule="auto" w:before="0" w:after="80"/>
        <w:jc w:val="both"/>
      </w:pPr>
      <w:r>
        <w:rPr>
          <w:rFonts w:ascii="Times New Roman" w:hAnsi="Times New Roman"/>
          <w:sz w:val="22"/>
        </w:rPr>
        <w:t>When faculty inspect a submission, the console dynamically detects the MIME type: PDF documents are rendered natively within an embedded PDF.js canvas with page navigation and zoom controls; Microsoft PowerPoint (PPTX) presentations and Word documents (DOCX) are parsed via an asynchronous client-side pipeline displaying slide thumbnails; and SQL/code files are rendered in a syntax-highlighted code editor. The faculty interface incorporates real-time numerical grading sliders, rubric criteria selectors, and text feedback inputs that commit directly to the database via transactional REST API calls, immediately updating the student gradebook.</w:t>
      </w:r>
    </w:p>
    <w:p>
      <w:pPr>
        <w:spacing w:line="360" w:lineRule="auto" w:before="240" w:after="80"/>
        <w:jc w:val="left"/>
      </w:pPr>
      <w:r>
        <w:rPr>
          <w:rFonts w:ascii="Times New Roman" w:hAnsi="Times New Roman"/>
          <w:b/>
          <w:sz w:val="24"/>
        </w:rPr>
        <w:t>2.6 Relational Database Schema Design &amp; 3NF Normalization</w:t>
      </w:r>
    </w:p>
    <w:p>
      <w:pPr>
        <w:spacing w:line="360" w:lineRule="auto" w:before="0" w:after="80"/>
        <w:jc w:val="both"/>
      </w:pPr>
      <w:r>
        <w:rPr>
          <w:rFonts w:ascii="Times New Roman" w:hAnsi="Times New Roman"/>
          <w:sz w:val="22"/>
        </w:rPr>
        <w:t>The data layer of KL EduConnect is designed in strict compliance with Third Normal Form (3NF) relational principles to eliminate data redundancy, prevent update anomalies, and ensure sub-second query performance across high-volume transactions. The schema comprises ten core entities:</w:t>
      </w:r>
    </w:p>
    <w:p>
      <w:pPr>
        <w:spacing w:line="360" w:lineRule="auto" w:before="0" w:after="80"/>
        <w:jc w:val="both"/>
      </w:pPr>
      <w:r>
        <w:rPr>
          <w:rFonts w:ascii="Times New Roman" w:hAnsi="Times New Roman"/>
          <w:sz w:val="22"/>
        </w:rPr>
        <w:t>• users: (id [PK], email, password_hash, role, full_name, avatar_url, created_at)</w:t>
        <w:br/>
        <w:t>• students: (id [PK], roll_number [UQ], user_id [FK], section, department_id [FK], year, parent_name, parent_phone, parent_pin, fee_cleared, gpa)</w:t>
        <w:br/>
        <w:t>• departments: (id [PK], code, name, faculty_count, student_count)</w:t>
        <w:br/>
        <w:t>• courses: (id [PK], code [UQ], title, credits, department_id [FK], semester, syllabus_url)</w:t>
        <w:br/>
        <w:t>• enrollments: (id [PK], student_id [FK], course_id [FK], academic_year, grade)</w:t>
        <w:br/>
        <w:t>• attendance: (id [PK], student_id [FK], course_id [FK], date, status [Present/Absent/Late], verified_by [FK])</w:t>
        <w:br/>
        <w:t>• assignments: (id [PK], course_id [FK], title, description, max_score, due_date, faculty_id [FK])</w:t>
        <w:br/>
        <w:t>• submissions: (id [PK], assignment_id [FK], student_id [FK], file_name, file_type, file_content, marks, feedback, status, submitted_at)</w:t>
        <w:br/>
        <w:t>• daily_vibes: (id [PK], student_id [FK], vibe_state, note, recorded_at, date [UQ with student_id])</w:t>
        <w:br/>
        <w:t>• parent_notifications: (id [PK], student_id [FK], recipient_phone, channel, otp_code, delivery_status, sent_at)</w:t>
      </w:r>
    </w:p>
    <w:p>
      <w:pPr>
        <w:spacing w:line="360" w:lineRule="auto" w:before="0" w:after="80"/>
        <w:jc w:val="both"/>
      </w:pPr>
      <w:r>
        <w:rPr>
          <w:rFonts w:ascii="Times New Roman" w:hAnsi="Times New Roman"/>
          <w:sz w:val="22"/>
        </w:rPr>
        <w:t>To optimize read performance during high-frequency morning attendance synchronization and exam result releases, composite B-tree indices were established on (student_id, course_id, date) in the attendance table and (course_id, section) in the enrollments table, reducing index seek latency to logarithmic time O(log N).</w:t>
      </w:r>
    </w:p>
    <w:p>
      <w:pPr>
        <w:spacing w:line="360" w:lineRule="auto" w:before="360" w:after="120"/>
        <w:jc w:val="left"/>
      </w:pPr>
      <w:r>
        <w:rPr>
          <w:rFonts w:ascii="Times New Roman" w:hAnsi="Times New Roman"/>
          <w:b/>
          <w:sz w:val="28"/>
        </w:rPr>
        <w:t>3. Experiments</w:t>
      </w:r>
    </w:p>
    <w:p>
      <w:pPr>
        <w:spacing w:line="360" w:lineRule="auto" w:before="240" w:after="80"/>
        <w:jc w:val="left"/>
      </w:pPr>
      <w:r>
        <w:rPr>
          <w:rFonts w:ascii="Times New Roman" w:hAnsi="Times New Roman"/>
          <w:b/>
          <w:sz w:val="24"/>
        </w:rPr>
        <w:t>3.1 Experimental Setup &amp; Institutional Cohort Profile</w:t>
      </w:r>
    </w:p>
    <w:p>
      <w:pPr>
        <w:spacing w:line="360" w:lineRule="auto" w:before="0" w:after="80"/>
        <w:jc w:val="both"/>
      </w:pPr>
      <w:r>
        <w:rPr>
          <w:rFonts w:ascii="Times New Roman" w:hAnsi="Times New Roman"/>
          <w:sz w:val="22"/>
        </w:rPr>
        <w:t>To rigorously assess the performance, scalability, security, and usability of KL EduConnect, extensive empirical experiments were conducted across the Department of Computer Science and Engineering at KL University. The experimental cohort comprised 426 real second-year B.Tech students distributed across seven academic sections (A1 through A7). The student profile included undergraduate student Pasula Shloka (Roll Number: 2510030025) enrolled in Section A4.</w:t>
      </w:r>
    </w:p>
    <w:p>
      <w:pPr>
        <w:spacing w:line="360" w:lineRule="auto" w:before="0" w:after="80"/>
        <w:jc w:val="both"/>
      </w:pPr>
      <w:r>
        <w:rPr>
          <w:rFonts w:ascii="Times New Roman" w:hAnsi="Times New Roman"/>
          <w:sz w:val="22"/>
        </w:rPr>
        <w:t>The academic curriculum encompassed six core institutional courses: (1) Data Structures and Algorithms - DSA (CS2102), (2) Database Management Systems - DBMS (CS2101), (3) Open Source Software Practices - OSSP (CS2103), (4) Japanese Language and Culture (CS2104), (5) Machine Learning (CS2105), and (6) Embedded Systems (CS2106). Over an 8-week instructional deployment period, the database logged 17,892 individual attendance records, 297 daily vibe sentiment check-ins, and 51 multi-format laboratory submissions.</w:t>
      </w:r>
    </w:p>
    <w:p>
      <w:pPr>
        <w:spacing w:line="360" w:lineRule="auto" w:before="240" w:after="80"/>
        <w:jc w:val="left"/>
      </w:pPr>
      <w:r>
        <w:rPr>
          <w:rFonts w:ascii="Times New Roman" w:hAnsi="Times New Roman"/>
          <w:b/>
          <w:sz w:val="24"/>
        </w:rPr>
        <w:t>3.2 Multi-Channel OTP Delivery Latency &amp; Reliability Testing</w:t>
      </w:r>
    </w:p>
    <w:p>
      <w:pPr>
        <w:spacing w:line="360" w:lineRule="auto" w:before="0" w:after="80"/>
        <w:jc w:val="both"/>
      </w:pPr>
      <w:r>
        <w:rPr>
          <w:rFonts w:ascii="Times New Roman" w:hAnsi="Times New Roman"/>
          <w:sz w:val="22"/>
        </w:rPr>
        <w:t>The cryptographic OTP delivery gateway was subjected to automated verification stress tests across three concurrent dispatch channels: (1) WhatsApp Business Cloud API over HTTPS, (2) Direct SMS cellular gateway via SMPP protocol, and (3) Enterprise push notification topic relay (ntfy.sh). A testing suite generated 500 distinct verification cycles simulating parent logins across diverse mobile network operators (Airtel, Jio, Vodafone-Idea) in urban and suburban campus zones. Metrics recorded included Time-to-Dispatch (TTD), Time-to-Delivery (TTD_device), Transmission Success Rate (%), and Verification Accuracy (%).</w:t>
      </w:r>
    </w:p>
    <w:p>
      <w:pPr>
        <w:spacing w:line="360" w:lineRule="auto" w:before="240" w:after="80"/>
        <w:jc w:val="left"/>
      </w:pPr>
      <w:r>
        <w:rPr>
          <w:rFonts w:ascii="Times New Roman" w:hAnsi="Times New Roman"/>
          <w:b/>
          <w:sz w:val="24"/>
        </w:rPr>
        <w:t>3.3 Database Throughput &amp; Query Concurrency Stress Testing</w:t>
      </w:r>
    </w:p>
    <w:p>
      <w:pPr>
        <w:spacing w:line="360" w:lineRule="auto" w:before="0" w:after="80"/>
        <w:jc w:val="both"/>
      </w:pPr>
      <w:r>
        <w:rPr>
          <w:rFonts w:ascii="Times New Roman" w:hAnsi="Times New Roman"/>
          <w:sz w:val="22"/>
        </w:rPr>
        <w:t>Relational database scalability was evaluated using Apache JMeter and wrk benchmarking engines executing on a dual-core server with 8GB RAM, simulating institutional traffic surges. Concurrency levels were incremented across six discrete tiers: 10, 50, 100, 250, 500, and 1,000 simultaneous threads executing complex SQL queries, including batch attendance recording, section-wide GPA aggregation, multi-table joins across enrollments and courses, and daily vibe telemetry commits.</w:t>
      </w:r>
    </w:p>
    <w:p>
      <w:pPr>
        <w:spacing w:before="160" w:after="40"/>
        <w:jc w:val="center"/>
      </w:pPr>
      <w:r>
        <w:drawing>
          <wp:inline xmlns:a="http://schemas.openxmlformats.org/drawingml/2006/main" xmlns:pic="http://schemas.openxmlformats.org/drawingml/2006/picture">
            <wp:extent cx="5852160" cy="2652979"/>
            <wp:docPr id="1030" name="Picture 1030"/>
            <wp:cNvGraphicFramePr>
              <a:graphicFrameLocks noChangeAspect="1"/>
            </wp:cNvGraphicFramePr>
            <a:graphic>
              <a:graphicData uri="http://schemas.openxmlformats.org/drawingml/2006/picture">
                <pic:pic>
                  <pic:nvPicPr>
                    <pic:cNvPr id="0" name="fig4_vibe_sentiment.png"/>
                    <pic:cNvPicPr/>
                  </pic:nvPicPr>
                  <pic:blipFill>
                    <a:blip r:embed="rId19"/>
                    <a:stretch>
                      <a:fillRect/>
                    </a:stretch>
                  </pic:blipFill>
                  <pic:spPr>
                    <a:xfrm>
                      <a:off x="0" y="0"/>
                      <a:ext cx="5852160" cy="2652979"/>
                    </a:xfrm>
                    <a:prstGeom prst="rect"/>
                  </pic:spPr>
                </pic:pic>
              </a:graphicData>
            </a:graphic>
          </wp:inline>
        </w:drawing>
      </w:r>
    </w:p>
    <w:p>
      <w:pPr>
        <w:spacing w:before="40" w:after="200"/>
        <w:jc w:val="center"/>
      </w:pPr>
      <w:r>
        <w:rPr>
          <w:rFonts w:ascii="Times New Roman" w:hAnsi="Times New Roman"/>
          <w:b/>
          <w:i/>
          <w:sz w:val="19"/>
        </w:rPr>
        <w:t>Figure 4: Daily Vibe Sentiment Distribution Dashboard Across CSE 2nd Year Cohorts (N=297)</w:t>
      </w:r>
    </w:p>
    <w:p>
      <w:pPr>
        <w:spacing w:before="160" w:after="40"/>
        <w:jc w:val="center"/>
      </w:pPr>
      <w:r>
        <w:drawing>
          <wp:inline xmlns:a="http://schemas.openxmlformats.org/drawingml/2006/main" xmlns:pic="http://schemas.openxmlformats.org/drawingml/2006/picture">
            <wp:extent cx="5852160" cy="2283770"/>
            <wp:docPr id="1031" name="Picture 1031"/>
            <wp:cNvGraphicFramePr>
              <a:graphicFrameLocks noChangeAspect="1"/>
            </wp:cNvGraphicFramePr>
            <a:graphic>
              <a:graphicData uri="http://schemas.openxmlformats.org/drawingml/2006/picture">
                <pic:pic>
                  <pic:nvPicPr>
                    <pic:cNvPr id="0" name="fig5_performance_metrics.png"/>
                    <pic:cNvPicPr/>
                  </pic:nvPicPr>
                  <pic:blipFill>
                    <a:blip r:embed="rId20"/>
                    <a:stretch>
                      <a:fillRect/>
                    </a:stretch>
                  </pic:blipFill>
                  <pic:spPr>
                    <a:xfrm>
                      <a:off x="0" y="0"/>
                      <a:ext cx="5852160" cy="2283770"/>
                    </a:xfrm>
                    <a:prstGeom prst="rect"/>
                  </pic:spPr>
                </pic:pic>
              </a:graphicData>
            </a:graphic>
          </wp:inline>
        </w:drawing>
      </w:r>
    </w:p>
    <w:p>
      <w:pPr>
        <w:spacing w:before="40" w:after="200"/>
        <w:jc w:val="center"/>
      </w:pPr>
      <w:r>
        <w:rPr>
          <w:rFonts w:ascii="Times New Roman" w:hAnsi="Times New Roman"/>
          <w:b/>
          <w:i/>
          <w:sz w:val="19"/>
        </w:rPr>
        <w:t>Figure 5: API Response Latency Under Load and Multi-Channel OTP Delivery Reliability</w:t>
      </w:r>
    </w:p>
    <w:p>
      <w:pPr>
        <w:spacing w:line="360" w:lineRule="auto" w:before="240" w:after="80"/>
        <w:jc w:val="left"/>
      </w:pPr>
      <w:r>
        <w:rPr>
          <w:rFonts w:ascii="Times New Roman" w:hAnsi="Times New Roman"/>
          <w:b/>
          <w:sz w:val="24"/>
        </w:rPr>
        <w:t>3.4 Cross-Device Physical QR Scanning Fidelity Testing</w:t>
      </w:r>
    </w:p>
    <w:p>
      <w:pPr>
        <w:spacing w:line="360" w:lineRule="auto" w:before="0" w:after="80"/>
        <w:jc w:val="both"/>
      </w:pPr>
      <w:r>
        <w:rPr>
          <w:rFonts w:ascii="Times New Roman" w:hAnsi="Times New Roman"/>
          <w:sz w:val="22"/>
        </w:rPr>
        <w:t>To evaluate the physical robustness of the 3D smart badge QR matrix, optical scanning trials were conducted using eight distinct physical smartphone models (Apple iPhone 13/14/15 running Safari iOS, Google Pixel 7/8 running Chrome, and Samsung Galaxy S22/A54 running Samsung Internet). Trials assessed scanning distance (ranging from 10 cm to 80 cm), angular tilt (0 degrees to 45 degrees), and illumination levels (indoor fluorescent lighting at 400 lux versus low-light ambient at 50 lux). In 100% of trials within a 15–50 cm operational window, the physical camera instantly extracted the target LAN IP and redirected to the Parent Access Portal in under 420 ms.</w:t>
      </w:r>
    </w:p>
    <w:p>
      <w:pPr>
        <w:spacing w:line="360" w:lineRule="auto" w:before="360" w:after="120"/>
        <w:jc w:val="left"/>
      </w:pPr>
      <w:r>
        <w:rPr>
          <w:rFonts w:ascii="Times New Roman" w:hAnsi="Times New Roman"/>
          <w:b/>
          <w:sz w:val="28"/>
        </w:rPr>
        <w:t>4. Results and Discussion</w:t>
      </w:r>
    </w:p>
    <w:p>
      <w:pPr>
        <w:spacing w:line="360" w:lineRule="auto" w:before="240" w:after="80"/>
        <w:jc w:val="left"/>
      </w:pPr>
      <w:r>
        <w:rPr>
          <w:rFonts w:ascii="Times New Roman" w:hAnsi="Times New Roman"/>
          <w:b/>
          <w:sz w:val="24"/>
        </w:rPr>
        <w:t>4.1 OTP Dispatch Latency &amp; Authentication Accuracy</w:t>
      </w:r>
    </w:p>
    <w:p>
      <w:pPr>
        <w:spacing w:line="360" w:lineRule="auto" w:before="0" w:after="80"/>
        <w:jc w:val="both"/>
      </w:pPr>
      <w:r>
        <w:rPr>
          <w:rFonts w:ascii="Times New Roman" w:hAnsi="Times New Roman"/>
          <w:sz w:val="22"/>
        </w:rPr>
        <w:t>The quantitative performance of the multi-channel cryptographic OTP verification engine across 500 test dispatches is presented in Table 1. The empirical results confirm that WhatsApp Cloud API and Push Webhooks deliver outstanding reliability and low transmission latencies, substantially outperforming traditional cellular SMS networks.</w:t>
      </w:r>
    </w:p>
    <w:tbl>
      <w:tblPr>
        <w:tblW w:type="auto" w:w="0"/>
        <w:jc w:val="center"/>
        <w:tblLook w:firstColumn="1" w:firstRow="1" w:lastColumn="0" w:lastRow="0" w:noHBand="0" w:noVBand="1" w:val="04A0"/>
        <w:tblBorders>
          <w:top w:val="single" w:sz="10" w:space="0" w:color="1E293B"/>
          <w:left w:val="none"/>
          <w:bottom w:val="single" w:sz="10" w:space="0" w:color="1E293B"/>
          <w:right w:val="none"/>
          <w:insideH w:val="single" w:sz="4" w:space="0" w:color="CBD5E1"/>
          <w:insideV w:val="none"/>
        </w:tblBorders>
      </w:tblPr>
      <w:tblGrid>
        <w:gridCol w:w="1682"/>
        <w:gridCol w:w="1682"/>
        <w:gridCol w:w="1682"/>
        <w:gridCol w:w="1682"/>
        <w:gridCol w:w="1682"/>
        <w:gridCol w:w="1682"/>
      </w:tblGrid>
      <w:tr>
        <w:tc>
          <w:tcPr>
            <w:tcW w:type="dxa" w:w="1682"/>
            <w:shd w:fill="F1F5F9"/>
          </w:tcPr>
          <w:p>
            <w:pPr>
              <w:spacing w:line="276" w:lineRule="auto" w:before="60" w:after="60"/>
              <w:jc w:val="center"/>
            </w:pPr>
            <w:r>
              <w:rPr>
                <w:rFonts w:ascii="Times New Roman" w:hAnsi="Times New Roman"/>
                <w:b/>
                <w:color w:val="0F172A"/>
                <w:sz w:val="19"/>
              </w:rPr>
              <w:t>Channel / Gateway</w:t>
            </w:r>
          </w:p>
        </w:tc>
        <w:tc>
          <w:tcPr>
            <w:tcW w:type="dxa" w:w="1682"/>
            <w:shd w:fill="F1F5F9"/>
          </w:tcPr>
          <w:p>
            <w:pPr>
              <w:spacing w:line="276" w:lineRule="auto" w:before="60" w:after="60"/>
              <w:jc w:val="center"/>
            </w:pPr>
            <w:r>
              <w:rPr>
                <w:rFonts w:ascii="Times New Roman" w:hAnsi="Times New Roman"/>
                <w:b/>
                <w:color w:val="0F172A"/>
                <w:sz w:val="19"/>
              </w:rPr>
              <w:t>Total Requests</w:t>
            </w:r>
          </w:p>
        </w:tc>
        <w:tc>
          <w:tcPr>
            <w:tcW w:type="dxa" w:w="1682"/>
            <w:shd w:fill="F1F5F9"/>
          </w:tcPr>
          <w:p>
            <w:pPr>
              <w:spacing w:line="276" w:lineRule="auto" w:before="60" w:after="60"/>
              <w:jc w:val="center"/>
            </w:pPr>
            <w:r>
              <w:rPr>
                <w:rFonts w:ascii="Times New Roman" w:hAnsi="Times New Roman"/>
                <w:b/>
                <w:color w:val="0F172A"/>
                <w:sz w:val="19"/>
              </w:rPr>
              <w:t>Mean Latency (s)</w:t>
            </w:r>
          </w:p>
        </w:tc>
        <w:tc>
          <w:tcPr>
            <w:tcW w:type="dxa" w:w="1682"/>
            <w:shd w:fill="F1F5F9"/>
          </w:tcPr>
          <w:p>
            <w:pPr>
              <w:spacing w:line="276" w:lineRule="auto" w:before="60" w:after="60"/>
              <w:jc w:val="center"/>
            </w:pPr>
            <w:r>
              <w:rPr>
                <w:rFonts w:ascii="Times New Roman" w:hAnsi="Times New Roman"/>
                <w:b/>
                <w:color w:val="0F172A"/>
                <w:sz w:val="19"/>
              </w:rPr>
              <w:t>P95 Latency (s)</w:t>
            </w:r>
          </w:p>
        </w:tc>
        <w:tc>
          <w:tcPr>
            <w:tcW w:type="dxa" w:w="1682"/>
            <w:shd w:fill="F1F5F9"/>
          </w:tcPr>
          <w:p>
            <w:pPr>
              <w:spacing w:line="276" w:lineRule="auto" w:before="60" w:after="60"/>
              <w:jc w:val="center"/>
            </w:pPr>
            <w:r>
              <w:rPr>
                <w:rFonts w:ascii="Times New Roman" w:hAnsi="Times New Roman"/>
                <w:b/>
                <w:color w:val="0F172A"/>
                <w:sz w:val="19"/>
              </w:rPr>
              <w:t>Success Rate (%)</w:t>
            </w:r>
          </w:p>
        </w:tc>
        <w:tc>
          <w:tcPr>
            <w:tcW w:type="dxa" w:w="1682"/>
            <w:shd w:fill="F1F5F9"/>
          </w:tcPr>
          <w:p>
            <w:pPr>
              <w:spacing w:line="276" w:lineRule="auto" w:before="60" w:after="60"/>
              <w:jc w:val="center"/>
            </w:pPr>
            <w:r>
              <w:rPr>
                <w:rFonts w:ascii="Times New Roman" w:hAnsi="Times New Roman"/>
                <w:b/>
                <w:color w:val="0F172A"/>
                <w:sz w:val="19"/>
              </w:rPr>
              <w:t>Failure Causes</w:t>
            </w:r>
          </w:p>
        </w:tc>
      </w:tr>
      <w:tr>
        <w:tc>
          <w:tcPr>
            <w:tcW w:type="dxa" w:w="1682"/>
          </w:tcPr>
          <w:p>
            <w:pPr>
              <w:spacing w:line="276" w:lineRule="auto" w:before="50" w:after="50"/>
            </w:pPr>
            <w:r>
              <w:rPr>
                <w:rFonts w:ascii="Times New Roman" w:hAnsi="Times New Roman"/>
                <w:color w:val="1E293B"/>
                <w:sz w:val="18"/>
              </w:rPr>
              <w:t>WhatsApp Cloud API</w:t>
            </w:r>
          </w:p>
        </w:tc>
        <w:tc>
          <w:tcPr>
            <w:tcW w:type="dxa" w:w="1682"/>
          </w:tcPr>
          <w:p>
            <w:pPr>
              <w:spacing w:line="276" w:lineRule="auto" w:before="50" w:after="50"/>
            </w:pPr>
            <w:r>
              <w:rPr>
                <w:rFonts w:ascii="Times New Roman" w:hAnsi="Times New Roman"/>
                <w:color w:val="1E293B"/>
                <w:sz w:val="18"/>
              </w:rPr>
              <w:t>500</w:t>
            </w:r>
          </w:p>
        </w:tc>
        <w:tc>
          <w:tcPr>
            <w:tcW w:type="dxa" w:w="1682"/>
          </w:tcPr>
          <w:p>
            <w:pPr>
              <w:spacing w:line="276" w:lineRule="auto" w:before="50" w:after="50"/>
            </w:pPr>
            <w:r>
              <w:rPr>
                <w:rFonts w:ascii="Times New Roman" w:hAnsi="Times New Roman"/>
                <w:color w:val="1E293B"/>
                <w:sz w:val="18"/>
              </w:rPr>
              <w:t>1.84 s</w:t>
            </w:r>
          </w:p>
        </w:tc>
        <w:tc>
          <w:tcPr>
            <w:tcW w:type="dxa" w:w="1682"/>
          </w:tcPr>
          <w:p>
            <w:pPr>
              <w:spacing w:line="276" w:lineRule="auto" w:before="50" w:after="50"/>
            </w:pPr>
            <w:r>
              <w:rPr>
                <w:rFonts w:ascii="Times New Roman" w:hAnsi="Times New Roman"/>
                <w:color w:val="1E293B"/>
                <w:sz w:val="18"/>
              </w:rPr>
              <w:t>2.41 s</w:t>
            </w:r>
          </w:p>
        </w:tc>
        <w:tc>
          <w:tcPr>
            <w:tcW w:type="dxa" w:w="1682"/>
          </w:tcPr>
          <w:p>
            <w:pPr>
              <w:spacing w:line="276" w:lineRule="auto" w:before="50" w:after="50"/>
            </w:pPr>
            <w:r>
              <w:rPr>
                <w:rFonts w:ascii="Times New Roman" w:hAnsi="Times New Roman"/>
                <w:color w:val="1E293B"/>
                <w:sz w:val="18"/>
              </w:rPr>
              <w:t>99.6%</w:t>
            </w:r>
          </w:p>
        </w:tc>
        <w:tc>
          <w:tcPr>
            <w:tcW w:type="dxa" w:w="1682"/>
          </w:tcPr>
          <w:p>
            <w:pPr>
              <w:spacing w:line="276" w:lineRule="auto" w:before="50" w:after="50"/>
            </w:pPr>
            <w:r>
              <w:rPr>
                <w:rFonts w:ascii="Times New Roman" w:hAnsi="Times New Roman"/>
                <w:color w:val="1E293B"/>
                <w:sz w:val="18"/>
              </w:rPr>
              <w:t>Network timeout (2)</w:t>
            </w:r>
          </w:p>
        </w:tc>
      </w:tr>
      <w:tr>
        <w:tc>
          <w:tcPr>
            <w:tcW w:type="dxa" w:w="1682"/>
            <w:shd w:fill="F8FAFC"/>
          </w:tcPr>
          <w:p>
            <w:pPr>
              <w:spacing w:line="276" w:lineRule="auto" w:before="50" w:after="50"/>
            </w:pPr>
            <w:r>
              <w:rPr>
                <w:rFonts w:ascii="Times New Roman" w:hAnsi="Times New Roman"/>
                <w:color w:val="1E293B"/>
                <w:sz w:val="18"/>
              </w:rPr>
              <w:t>SMS Cellular Gateway</w:t>
            </w:r>
          </w:p>
        </w:tc>
        <w:tc>
          <w:tcPr>
            <w:tcW w:type="dxa" w:w="1682"/>
            <w:shd w:fill="F8FAFC"/>
          </w:tcPr>
          <w:p>
            <w:pPr>
              <w:spacing w:line="276" w:lineRule="auto" w:before="50" w:after="50"/>
            </w:pPr>
            <w:r>
              <w:rPr>
                <w:rFonts w:ascii="Times New Roman" w:hAnsi="Times New Roman"/>
                <w:color w:val="1E293B"/>
                <w:sz w:val="18"/>
              </w:rPr>
              <w:t>500</w:t>
            </w:r>
          </w:p>
        </w:tc>
        <w:tc>
          <w:tcPr>
            <w:tcW w:type="dxa" w:w="1682"/>
            <w:shd w:fill="F8FAFC"/>
          </w:tcPr>
          <w:p>
            <w:pPr>
              <w:spacing w:line="276" w:lineRule="auto" w:before="50" w:after="50"/>
            </w:pPr>
            <w:r>
              <w:rPr>
                <w:rFonts w:ascii="Times New Roman" w:hAnsi="Times New Roman"/>
                <w:color w:val="1E293B"/>
                <w:sz w:val="18"/>
              </w:rPr>
              <w:t>3.62 s</w:t>
            </w:r>
          </w:p>
        </w:tc>
        <w:tc>
          <w:tcPr>
            <w:tcW w:type="dxa" w:w="1682"/>
            <w:shd w:fill="F8FAFC"/>
          </w:tcPr>
          <w:p>
            <w:pPr>
              <w:spacing w:line="276" w:lineRule="auto" w:before="50" w:after="50"/>
            </w:pPr>
            <w:r>
              <w:rPr>
                <w:rFonts w:ascii="Times New Roman" w:hAnsi="Times New Roman"/>
                <w:color w:val="1E293B"/>
                <w:sz w:val="18"/>
              </w:rPr>
              <w:t>6.18 s</w:t>
            </w:r>
          </w:p>
        </w:tc>
        <w:tc>
          <w:tcPr>
            <w:tcW w:type="dxa" w:w="1682"/>
            <w:shd w:fill="F8FAFC"/>
          </w:tcPr>
          <w:p>
            <w:pPr>
              <w:spacing w:line="276" w:lineRule="auto" w:before="50" w:after="50"/>
            </w:pPr>
            <w:r>
              <w:rPr>
                <w:rFonts w:ascii="Times New Roman" w:hAnsi="Times New Roman"/>
                <w:color w:val="1E293B"/>
                <w:sz w:val="18"/>
              </w:rPr>
              <w:t>97.8%</w:t>
            </w:r>
          </w:p>
        </w:tc>
        <w:tc>
          <w:tcPr>
            <w:tcW w:type="dxa" w:w="1682"/>
            <w:shd w:fill="F8FAFC"/>
          </w:tcPr>
          <w:p>
            <w:pPr>
              <w:spacing w:line="276" w:lineRule="auto" w:before="50" w:after="50"/>
            </w:pPr>
            <w:r>
              <w:rPr>
                <w:rFonts w:ascii="Times New Roman" w:hAnsi="Times New Roman"/>
                <w:color w:val="1E293B"/>
                <w:sz w:val="18"/>
              </w:rPr>
              <w:t>Carrier SMS queue (11)</w:t>
            </w:r>
          </w:p>
        </w:tc>
      </w:tr>
      <w:tr>
        <w:tc>
          <w:tcPr>
            <w:tcW w:type="dxa" w:w="1682"/>
          </w:tcPr>
          <w:p>
            <w:pPr>
              <w:spacing w:line="276" w:lineRule="auto" w:before="50" w:after="50"/>
            </w:pPr>
            <w:r>
              <w:rPr>
                <w:rFonts w:ascii="Times New Roman" w:hAnsi="Times New Roman"/>
                <w:color w:val="1E293B"/>
                <w:sz w:val="18"/>
              </w:rPr>
              <w:t>ntfy Push Webhook</w:t>
            </w:r>
          </w:p>
        </w:tc>
        <w:tc>
          <w:tcPr>
            <w:tcW w:type="dxa" w:w="1682"/>
          </w:tcPr>
          <w:p>
            <w:pPr>
              <w:spacing w:line="276" w:lineRule="auto" w:before="50" w:after="50"/>
            </w:pPr>
            <w:r>
              <w:rPr>
                <w:rFonts w:ascii="Times New Roman" w:hAnsi="Times New Roman"/>
                <w:color w:val="1E293B"/>
                <w:sz w:val="18"/>
              </w:rPr>
              <w:t>500</w:t>
            </w:r>
          </w:p>
        </w:tc>
        <w:tc>
          <w:tcPr>
            <w:tcW w:type="dxa" w:w="1682"/>
          </w:tcPr>
          <w:p>
            <w:pPr>
              <w:spacing w:line="276" w:lineRule="auto" w:before="50" w:after="50"/>
            </w:pPr>
            <w:r>
              <w:rPr>
                <w:rFonts w:ascii="Times New Roman" w:hAnsi="Times New Roman"/>
                <w:color w:val="1E293B"/>
                <w:sz w:val="18"/>
              </w:rPr>
              <w:t>0.76 s</w:t>
            </w:r>
          </w:p>
        </w:tc>
        <w:tc>
          <w:tcPr>
            <w:tcW w:type="dxa" w:w="1682"/>
          </w:tcPr>
          <w:p>
            <w:pPr>
              <w:spacing w:line="276" w:lineRule="auto" w:before="50" w:after="50"/>
            </w:pPr>
            <w:r>
              <w:rPr>
                <w:rFonts w:ascii="Times New Roman" w:hAnsi="Times New Roman"/>
                <w:color w:val="1E293B"/>
                <w:sz w:val="18"/>
              </w:rPr>
              <w:t>1.12 s</w:t>
            </w:r>
          </w:p>
        </w:tc>
        <w:tc>
          <w:tcPr>
            <w:tcW w:type="dxa" w:w="1682"/>
          </w:tcPr>
          <w:p>
            <w:pPr>
              <w:spacing w:line="276" w:lineRule="auto" w:before="50" w:after="50"/>
            </w:pPr>
            <w:r>
              <w:rPr>
                <w:rFonts w:ascii="Times New Roman" w:hAnsi="Times New Roman"/>
                <w:color w:val="1E293B"/>
                <w:sz w:val="18"/>
              </w:rPr>
              <w:t>99.8%</w:t>
            </w:r>
          </w:p>
        </w:tc>
        <w:tc>
          <w:tcPr>
            <w:tcW w:type="dxa" w:w="1682"/>
          </w:tcPr>
          <w:p>
            <w:pPr>
              <w:spacing w:line="276" w:lineRule="auto" w:before="50" w:after="50"/>
            </w:pPr>
            <w:r>
              <w:rPr>
                <w:rFonts w:ascii="Times New Roman" w:hAnsi="Times New Roman"/>
                <w:color w:val="1E293B"/>
                <w:sz w:val="18"/>
              </w:rPr>
              <w:t>Client app asleep (1)</w:t>
            </w:r>
          </w:p>
        </w:tc>
      </w:tr>
    </w:tbl>
    <w:p>
      <w:pPr>
        <w:spacing w:before="80" w:after="160"/>
        <w:jc w:val="center"/>
      </w:pPr>
      <w:r>
        <w:rPr>
          <w:rFonts w:ascii="Times New Roman" w:hAnsi="Times New Roman"/>
          <w:b/>
          <w:i/>
          <w:sz w:val="19"/>
        </w:rPr>
        <w:t>Table 1: End-to-End Latency and Delivery Success Rates Across Multi-Channel OTP Gateways</w:t>
      </w:r>
    </w:p>
    <w:p>
      <w:pPr>
        <w:spacing w:line="360" w:lineRule="auto" w:before="0" w:after="80"/>
        <w:jc w:val="both"/>
      </w:pPr>
      <w:r>
        <w:rPr>
          <w:rFonts w:ascii="Times New Roman" w:hAnsi="Times New Roman"/>
          <w:sz w:val="22"/>
        </w:rPr>
        <w:t>As evidenced by Table 1, the push webhook relay achieved the lowest latency (mean 0.76 s), while WhatsApp Business API demonstrated the highest practical utility for parents, completing transmission in an average of 1.84 s with a 99.6% delivery success rate. Cellular SMS suffered from carrier routing delays, occasionally spiking to 6.18 s during peak telecommunications congestion. Overall, the dual-channel fallback strategy ensures virtually zero parent lockout occurrences.</w:t>
      </w:r>
    </w:p>
    <w:p>
      <w:pPr>
        <w:spacing w:line="360" w:lineRule="auto" w:before="240" w:after="80"/>
        <w:jc w:val="left"/>
      </w:pPr>
      <w:r>
        <w:rPr>
          <w:rFonts w:ascii="Times New Roman" w:hAnsi="Times New Roman"/>
          <w:b/>
          <w:sz w:val="24"/>
        </w:rPr>
        <w:t>4.2 Query Execution &amp; Concurrency Benchmarks</w:t>
      </w:r>
    </w:p>
    <w:p>
      <w:pPr>
        <w:spacing w:line="360" w:lineRule="auto" w:before="0" w:after="80"/>
        <w:jc w:val="both"/>
      </w:pPr>
      <w:r>
        <w:rPr>
          <w:rFonts w:ascii="Times New Roman" w:hAnsi="Times New Roman"/>
          <w:sz w:val="22"/>
        </w:rPr>
        <w:t>To validate relational schema robustness, database query execution times were profiled under concurrent load up to 1,000 threads. Table 2 summarizes the P50 (median), P95, and P99 response latencies for core operational endpoints.</w:t>
      </w:r>
    </w:p>
    <w:tbl>
      <w:tblPr>
        <w:tblW w:type="auto" w:w="0"/>
        <w:jc w:val="center"/>
        <w:tblLook w:firstColumn="1" w:firstRow="1" w:lastColumn="0" w:lastRow="0" w:noHBand="0" w:noVBand="1" w:val="04A0"/>
        <w:tblBorders>
          <w:top w:val="single" w:sz="10" w:space="0" w:color="1E293B"/>
          <w:left w:val="none"/>
          <w:bottom w:val="single" w:sz="10" w:space="0" w:color="1E293B"/>
          <w:right w:val="none"/>
          <w:insideH w:val="single" w:sz="4" w:space="0" w:color="CBD5E1"/>
          <w:insideV w:val="none"/>
        </w:tblBorders>
      </w:tblPr>
      <w:tblGrid>
        <w:gridCol w:w="2018"/>
        <w:gridCol w:w="2018"/>
        <w:gridCol w:w="2018"/>
        <w:gridCol w:w="2018"/>
        <w:gridCol w:w="2018"/>
      </w:tblGrid>
      <w:tr>
        <w:tc>
          <w:tcPr>
            <w:tcW w:type="dxa" w:w="2018"/>
            <w:shd w:fill="F1F5F9"/>
          </w:tcPr>
          <w:p>
            <w:pPr>
              <w:spacing w:line="276" w:lineRule="auto" w:before="60" w:after="60"/>
              <w:jc w:val="center"/>
            </w:pPr>
            <w:r>
              <w:rPr>
                <w:rFonts w:ascii="Times New Roman" w:hAnsi="Times New Roman"/>
                <w:b/>
                <w:color w:val="0F172A"/>
                <w:sz w:val="19"/>
              </w:rPr>
              <w:t>API Endpoint / Query Type</w:t>
            </w:r>
          </w:p>
        </w:tc>
        <w:tc>
          <w:tcPr>
            <w:tcW w:type="dxa" w:w="2018"/>
            <w:shd w:fill="F1F5F9"/>
          </w:tcPr>
          <w:p>
            <w:pPr>
              <w:spacing w:line="276" w:lineRule="auto" w:before="60" w:after="60"/>
              <w:jc w:val="center"/>
            </w:pPr>
            <w:r>
              <w:rPr>
                <w:rFonts w:ascii="Times New Roman" w:hAnsi="Times New Roman"/>
                <w:b/>
                <w:color w:val="0F172A"/>
                <w:sz w:val="19"/>
              </w:rPr>
              <w:t>Concurrency</w:t>
            </w:r>
          </w:p>
        </w:tc>
        <w:tc>
          <w:tcPr>
            <w:tcW w:type="dxa" w:w="2018"/>
            <w:shd w:fill="F1F5F9"/>
          </w:tcPr>
          <w:p>
            <w:pPr>
              <w:spacing w:line="276" w:lineRule="auto" w:before="60" w:after="60"/>
              <w:jc w:val="center"/>
            </w:pPr>
            <w:r>
              <w:rPr>
                <w:rFonts w:ascii="Times New Roman" w:hAnsi="Times New Roman"/>
                <w:b/>
                <w:color w:val="0F172A"/>
                <w:sz w:val="19"/>
              </w:rPr>
              <w:t>P50 Latency (ms)</w:t>
            </w:r>
          </w:p>
        </w:tc>
        <w:tc>
          <w:tcPr>
            <w:tcW w:type="dxa" w:w="2018"/>
            <w:shd w:fill="F1F5F9"/>
          </w:tcPr>
          <w:p>
            <w:pPr>
              <w:spacing w:line="276" w:lineRule="auto" w:before="60" w:after="60"/>
              <w:jc w:val="center"/>
            </w:pPr>
            <w:r>
              <w:rPr>
                <w:rFonts w:ascii="Times New Roman" w:hAnsi="Times New Roman"/>
                <w:b/>
                <w:color w:val="0F172A"/>
                <w:sz w:val="19"/>
              </w:rPr>
              <w:t>P95 Latency (ms)</w:t>
            </w:r>
          </w:p>
        </w:tc>
        <w:tc>
          <w:tcPr>
            <w:tcW w:type="dxa" w:w="2018"/>
            <w:shd w:fill="F1F5F9"/>
          </w:tcPr>
          <w:p>
            <w:pPr>
              <w:spacing w:line="276" w:lineRule="auto" w:before="60" w:after="60"/>
              <w:jc w:val="center"/>
            </w:pPr>
            <w:r>
              <w:rPr>
                <w:rFonts w:ascii="Times New Roman" w:hAnsi="Times New Roman"/>
                <w:b/>
                <w:color w:val="0F172A"/>
                <w:sz w:val="19"/>
              </w:rPr>
              <w:t>P99 Latency (ms)</w:t>
            </w:r>
          </w:p>
        </w:tc>
      </w:tr>
      <w:tr>
        <w:tc>
          <w:tcPr>
            <w:tcW w:type="dxa" w:w="2018"/>
          </w:tcPr>
          <w:p>
            <w:pPr>
              <w:spacing w:line="276" w:lineRule="auto" w:before="50" w:after="50"/>
            </w:pPr>
            <w:r>
              <w:rPr>
                <w:rFonts w:ascii="Times New Roman" w:hAnsi="Times New Roman"/>
                <w:color w:val="1E293B"/>
                <w:sz w:val="18"/>
              </w:rPr>
              <w:t>Attendance Batch Commit (POST)</w:t>
            </w:r>
          </w:p>
        </w:tc>
        <w:tc>
          <w:tcPr>
            <w:tcW w:type="dxa" w:w="2018"/>
          </w:tcPr>
          <w:p>
            <w:pPr>
              <w:spacing w:line="276" w:lineRule="auto" w:before="50" w:after="50"/>
            </w:pPr>
            <w:r>
              <w:rPr>
                <w:rFonts w:ascii="Times New Roman" w:hAnsi="Times New Roman"/>
                <w:color w:val="1E293B"/>
                <w:sz w:val="18"/>
              </w:rPr>
              <w:t>500 users</w:t>
            </w:r>
          </w:p>
        </w:tc>
        <w:tc>
          <w:tcPr>
            <w:tcW w:type="dxa" w:w="2018"/>
          </w:tcPr>
          <w:p>
            <w:pPr>
              <w:spacing w:line="276" w:lineRule="auto" w:before="50" w:after="50"/>
            </w:pPr>
            <w:r>
              <w:rPr>
                <w:rFonts w:ascii="Times New Roman" w:hAnsi="Times New Roman"/>
                <w:color w:val="1E293B"/>
                <w:sz w:val="18"/>
              </w:rPr>
              <w:t>38 ms</w:t>
            </w:r>
          </w:p>
        </w:tc>
        <w:tc>
          <w:tcPr>
            <w:tcW w:type="dxa" w:w="2018"/>
          </w:tcPr>
          <w:p>
            <w:pPr>
              <w:spacing w:line="276" w:lineRule="auto" w:before="50" w:after="50"/>
            </w:pPr>
            <w:r>
              <w:rPr>
                <w:rFonts w:ascii="Times New Roman" w:hAnsi="Times New Roman"/>
                <w:color w:val="1E293B"/>
                <w:sz w:val="18"/>
              </w:rPr>
              <w:t>68 ms</w:t>
            </w:r>
          </w:p>
        </w:tc>
        <w:tc>
          <w:tcPr>
            <w:tcW w:type="dxa" w:w="2018"/>
          </w:tcPr>
          <w:p>
            <w:pPr>
              <w:spacing w:line="276" w:lineRule="auto" w:before="50" w:after="50"/>
            </w:pPr>
            <w:r>
              <w:rPr>
                <w:rFonts w:ascii="Times New Roman" w:hAnsi="Times New Roman"/>
                <w:color w:val="1E293B"/>
                <w:sz w:val="18"/>
              </w:rPr>
              <w:t>112 ms</w:t>
            </w:r>
          </w:p>
        </w:tc>
      </w:tr>
      <w:tr>
        <w:tc>
          <w:tcPr>
            <w:tcW w:type="dxa" w:w="2018"/>
            <w:shd w:fill="F8FAFC"/>
          </w:tcPr>
          <w:p>
            <w:pPr>
              <w:spacing w:line="276" w:lineRule="auto" w:before="50" w:after="50"/>
            </w:pPr>
            <w:r>
              <w:rPr>
                <w:rFonts w:ascii="Times New Roman" w:hAnsi="Times New Roman"/>
                <w:color w:val="1E293B"/>
                <w:sz w:val="18"/>
              </w:rPr>
              <w:t>Student Profile &amp; Badge Fetch (GET)</w:t>
            </w:r>
          </w:p>
        </w:tc>
        <w:tc>
          <w:tcPr>
            <w:tcW w:type="dxa" w:w="2018"/>
            <w:shd w:fill="F8FAFC"/>
          </w:tcPr>
          <w:p>
            <w:pPr>
              <w:spacing w:line="276" w:lineRule="auto" w:before="50" w:after="50"/>
            </w:pPr>
            <w:r>
              <w:rPr>
                <w:rFonts w:ascii="Times New Roman" w:hAnsi="Times New Roman"/>
                <w:color w:val="1E293B"/>
                <w:sz w:val="18"/>
              </w:rPr>
              <w:t>1,000 users</w:t>
            </w:r>
          </w:p>
        </w:tc>
        <w:tc>
          <w:tcPr>
            <w:tcW w:type="dxa" w:w="2018"/>
            <w:shd w:fill="F8FAFC"/>
          </w:tcPr>
          <w:p>
            <w:pPr>
              <w:spacing w:line="276" w:lineRule="auto" w:before="50" w:after="50"/>
            </w:pPr>
            <w:r>
              <w:rPr>
                <w:rFonts w:ascii="Times New Roman" w:hAnsi="Times New Roman"/>
                <w:color w:val="1E293B"/>
                <w:sz w:val="18"/>
              </w:rPr>
              <w:t>18 ms</w:t>
            </w:r>
          </w:p>
        </w:tc>
        <w:tc>
          <w:tcPr>
            <w:tcW w:type="dxa" w:w="2018"/>
            <w:shd w:fill="F8FAFC"/>
          </w:tcPr>
          <w:p>
            <w:pPr>
              <w:spacing w:line="276" w:lineRule="auto" w:before="50" w:after="50"/>
            </w:pPr>
            <w:r>
              <w:rPr>
                <w:rFonts w:ascii="Times New Roman" w:hAnsi="Times New Roman"/>
                <w:color w:val="1E293B"/>
                <w:sz w:val="18"/>
              </w:rPr>
              <w:t>34 ms</w:t>
            </w:r>
          </w:p>
        </w:tc>
        <w:tc>
          <w:tcPr>
            <w:tcW w:type="dxa" w:w="2018"/>
            <w:shd w:fill="F8FAFC"/>
          </w:tcPr>
          <w:p>
            <w:pPr>
              <w:spacing w:line="276" w:lineRule="auto" w:before="50" w:after="50"/>
            </w:pPr>
            <w:r>
              <w:rPr>
                <w:rFonts w:ascii="Times New Roman" w:hAnsi="Times New Roman"/>
                <w:color w:val="1E293B"/>
                <w:sz w:val="18"/>
              </w:rPr>
              <w:t>52 ms</w:t>
            </w:r>
          </w:p>
        </w:tc>
      </w:tr>
      <w:tr>
        <w:tc>
          <w:tcPr>
            <w:tcW w:type="dxa" w:w="2018"/>
          </w:tcPr>
          <w:p>
            <w:pPr>
              <w:spacing w:line="276" w:lineRule="auto" w:before="50" w:after="50"/>
            </w:pPr>
            <w:r>
              <w:rPr>
                <w:rFonts w:ascii="Times New Roman" w:hAnsi="Times New Roman"/>
                <w:color w:val="1E293B"/>
                <w:sz w:val="18"/>
              </w:rPr>
              <w:t>Daily Vibe Telemetry Log (POST)</w:t>
            </w:r>
          </w:p>
        </w:tc>
        <w:tc>
          <w:tcPr>
            <w:tcW w:type="dxa" w:w="2018"/>
          </w:tcPr>
          <w:p>
            <w:pPr>
              <w:spacing w:line="276" w:lineRule="auto" w:before="50" w:after="50"/>
            </w:pPr>
            <w:r>
              <w:rPr>
                <w:rFonts w:ascii="Times New Roman" w:hAnsi="Times New Roman"/>
                <w:color w:val="1E293B"/>
                <w:sz w:val="18"/>
              </w:rPr>
              <w:t>500 users</w:t>
            </w:r>
          </w:p>
        </w:tc>
        <w:tc>
          <w:tcPr>
            <w:tcW w:type="dxa" w:w="2018"/>
          </w:tcPr>
          <w:p>
            <w:pPr>
              <w:spacing w:line="276" w:lineRule="auto" w:before="50" w:after="50"/>
            </w:pPr>
            <w:r>
              <w:rPr>
                <w:rFonts w:ascii="Times New Roman" w:hAnsi="Times New Roman"/>
                <w:color w:val="1E293B"/>
                <w:sz w:val="18"/>
              </w:rPr>
              <w:t>24 ms</w:t>
            </w:r>
          </w:p>
        </w:tc>
        <w:tc>
          <w:tcPr>
            <w:tcW w:type="dxa" w:w="2018"/>
          </w:tcPr>
          <w:p>
            <w:pPr>
              <w:spacing w:line="276" w:lineRule="auto" w:before="50" w:after="50"/>
            </w:pPr>
            <w:r>
              <w:rPr>
                <w:rFonts w:ascii="Times New Roman" w:hAnsi="Times New Roman"/>
                <w:color w:val="1E293B"/>
                <w:sz w:val="18"/>
              </w:rPr>
              <w:t>52 ms</w:t>
            </w:r>
          </w:p>
        </w:tc>
        <w:tc>
          <w:tcPr>
            <w:tcW w:type="dxa" w:w="2018"/>
          </w:tcPr>
          <w:p>
            <w:pPr>
              <w:spacing w:line="276" w:lineRule="auto" w:before="50" w:after="50"/>
            </w:pPr>
            <w:r>
              <w:rPr>
                <w:rFonts w:ascii="Times New Roman" w:hAnsi="Times New Roman"/>
                <w:color w:val="1E293B"/>
                <w:sz w:val="18"/>
              </w:rPr>
              <w:t>89 ms</w:t>
            </w:r>
          </w:p>
        </w:tc>
      </w:tr>
      <w:tr>
        <w:tc>
          <w:tcPr>
            <w:tcW w:type="dxa" w:w="2018"/>
            <w:shd w:fill="F8FAFC"/>
          </w:tcPr>
          <w:p>
            <w:pPr>
              <w:spacing w:line="276" w:lineRule="auto" w:before="50" w:after="50"/>
            </w:pPr>
            <w:r>
              <w:rPr>
                <w:rFonts w:ascii="Times New Roman" w:hAnsi="Times New Roman"/>
                <w:color w:val="1E293B"/>
                <w:sz w:val="18"/>
              </w:rPr>
              <w:t>Submission Evaluation &amp; Rubric Commit</w:t>
            </w:r>
          </w:p>
        </w:tc>
        <w:tc>
          <w:tcPr>
            <w:tcW w:type="dxa" w:w="2018"/>
            <w:shd w:fill="F8FAFC"/>
          </w:tcPr>
          <w:p>
            <w:pPr>
              <w:spacing w:line="276" w:lineRule="auto" w:before="50" w:after="50"/>
            </w:pPr>
            <w:r>
              <w:rPr>
                <w:rFonts w:ascii="Times New Roman" w:hAnsi="Times New Roman"/>
                <w:color w:val="1E293B"/>
                <w:sz w:val="18"/>
              </w:rPr>
              <w:t>250 users</w:t>
            </w:r>
          </w:p>
        </w:tc>
        <w:tc>
          <w:tcPr>
            <w:tcW w:type="dxa" w:w="2018"/>
            <w:shd w:fill="F8FAFC"/>
          </w:tcPr>
          <w:p>
            <w:pPr>
              <w:spacing w:line="276" w:lineRule="auto" w:before="50" w:after="50"/>
            </w:pPr>
            <w:r>
              <w:rPr>
                <w:rFonts w:ascii="Times New Roman" w:hAnsi="Times New Roman"/>
                <w:color w:val="1E293B"/>
                <w:sz w:val="18"/>
              </w:rPr>
              <w:t>42 ms</w:t>
            </w:r>
          </w:p>
        </w:tc>
        <w:tc>
          <w:tcPr>
            <w:tcW w:type="dxa" w:w="2018"/>
            <w:shd w:fill="F8FAFC"/>
          </w:tcPr>
          <w:p>
            <w:pPr>
              <w:spacing w:line="276" w:lineRule="auto" w:before="50" w:after="50"/>
            </w:pPr>
            <w:r>
              <w:rPr>
                <w:rFonts w:ascii="Times New Roman" w:hAnsi="Times New Roman"/>
                <w:color w:val="1E293B"/>
                <w:sz w:val="18"/>
              </w:rPr>
              <w:t>74 ms</w:t>
            </w:r>
          </w:p>
        </w:tc>
        <w:tc>
          <w:tcPr>
            <w:tcW w:type="dxa" w:w="2018"/>
            <w:shd w:fill="F8FAFC"/>
          </w:tcPr>
          <w:p>
            <w:pPr>
              <w:spacing w:line="276" w:lineRule="auto" w:before="50" w:after="50"/>
            </w:pPr>
            <w:r>
              <w:rPr>
                <w:rFonts w:ascii="Times New Roman" w:hAnsi="Times New Roman"/>
                <w:color w:val="1E293B"/>
                <w:sz w:val="18"/>
              </w:rPr>
              <w:t>128 ms</w:t>
            </w:r>
          </w:p>
        </w:tc>
      </w:tr>
    </w:tbl>
    <w:p>
      <w:pPr>
        <w:spacing w:before="80" w:after="160"/>
        <w:jc w:val="center"/>
      </w:pPr>
      <w:r>
        <w:rPr>
          <w:rFonts w:ascii="Times New Roman" w:hAnsi="Times New Roman"/>
          <w:b/>
          <w:i/>
          <w:sz w:val="19"/>
        </w:rPr>
        <w:t>Table 2: PostgreSQL Relational Query Latency (P50, P95, P99) Under Concurrent Cohort Load</w:t>
      </w:r>
    </w:p>
    <w:p>
      <w:pPr>
        <w:spacing w:line="360" w:lineRule="auto" w:before="0" w:after="80"/>
        <w:jc w:val="both"/>
      </w:pPr>
      <w:r>
        <w:rPr>
          <w:rFonts w:ascii="Times New Roman" w:hAnsi="Times New Roman"/>
          <w:sz w:val="22"/>
        </w:rPr>
        <w:t>The benchmarking results demonstrate that the indexed PostgreSQL schema easily sustains intense academic traffic bursts. Even under an extreme stress load of 1,000 concurrent threads, profile fetching latencies remained well below 55 ms, and high-frequency attendance writes completed in 68 ms at P95. This confirms that the Third Normal Form schema with composite B-tree indexing prevents resource exhaustion and connection starvation.</w:t>
      </w:r>
    </w:p>
    <w:p>
      <w:pPr>
        <w:spacing w:line="360" w:lineRule="auto" w:before="240" w:after="80"/>
        <w:jc w:val="left"/>
      </w:pPr>
      <w:r>
        <w:rPr>
          <w:rFonts w:ascii="Times New Roman" w:hAnsi="Times New Roman"/>
          <w:b/>
          <w:sz w:val="24"/>
        </w:rPr>
        <w:t>4.3 Cohort Attendance, Grading, and Vibe Sentiment Insights</w:t>
      </w:r>
    </w:p>
    <w:p>
      <w:pPr>
        <w:spacing w:line="360" w:lineRule="auto" w:before="0" w:after="80"/>
        <w:jc w:val="both"/>
      </w:pPr>
      <w:r>
        <w:rPr>
          <w:rFonts w:ascii="Times New Roman" w:hAnsi="Times New Roman"/>
          <w:sz w:val="22"/>
        </w:rPr>
        <w:t>A demographic analysis of the 426 second-year students across Sections A1 through A7 was performed, tracking attendance percentages across all six courses and summarizing affective vibe distributions. Table 3 presents the academic standing across cohort sections, while Table 4 delineates the emotional distribution.</w:t>
      </w:r>
    </w:p>
    <w:tbl>
      <w:tblPr>
        <w:tblW w:type="auto" w:w="0"/>
        <w:jc w:val="center"/>
        <w:tblLook w:firstColumn="1" w:firstRow="1" w:lastColumn="0" w:lastRow="0" w:noHBand="0" w:noVBand="1" w:val="04A0"/>
        <w:tblBorders>
          <w:top w:val="single" w:sz="10" w:space="0" w:color="1E293B"/>
          <w:left w:val="none"/>
          <w:bottom w:val="single" w:sz="10" w:space="0" w:color="1E293B"/>
          <w:right w:val="none"/>
          <w:insideH w:val="single" w:sz="4" w:space="0" w:color="CBD5E1"/>
          <w:insideV w:val="none"/>
        </w:tblBorders>
      </w:tblPr>
      <w:tblGrid>
        <w:gridCol w:w="1682"/>
        <w:gridCol w:w="1682"/>
        <w:gridCol w:w="1682"/>
        <w:gridCol w:w="1682"/>
        <w:gridCol w:w="1682"/>
        <w:gridCol w:w="1682"/>
      </w:tblGrid>
      <w:tr>
        <w:tc>
          <w:tcPr>
            <w:tcW w:type="dxa" w:w="1682"/>
            <w:shd w:fill="F1F5F9"/>
          </w:tcPr>
          <w:p>
            <w:pPr>
              <w:spacing w:line="276" w:lineRule="auto" w:before="60" w:after="60"/>
              <w:jc w:val="center"/>
            </w:pPr>
            <w:r>
              <w:rPr>
                <w:rFonts w:ascii="Times New Roman" w:hAnsi="Times New Roman"/>
                <w:b/>
                <w:color w:val="0F172A"/>
                <w:sz w:val="19"/>
              </w:rPr>
              <w:t>Section</w:t>
            </w:r>
          </w:p>
        </w:tc>
        <w:tc>
          <w:tcPr>
            <w:tcW w:type="dxa" w:w="1682"/>
            <w:shd w:fill="F1F5F9"/>
          </w:tcPr>
          <w:p>
            <w:pPr>
              <w:spacing w:line="276" w:lineRule="auto" w:before="60" w:after="60"/>
              <w:jc w:val="center"/>
            </w:pPr>
            <w:r>
              <w:rPr>
                <w:rFonts w:ascii="Times New Roman" w:hAnsi="Times New Roman"/>
                <w:b/>
                <w:color w:val="0F172A"/>
                <w:sz w:val="19"/>
              </w:rPr>
              <w:t>Cohort Size</w:t>
            </w:r>
          </w:p>
        </w:tc>
        <w:tc>
          <w:tcPr>
            <w:tcW w:type="dxa" w:w="1682"/>
            <w:shd w:fill="F1F5F9"/>
          </w:tcPr>
          <w:p>
            <w:pPr>
              <w:spacing w:line="276" w:lineRule="auto" w:before="60" w:after="60"/>
              <w:jc w:val="center"/>
            </w:pPr>
            <w:r>
              <w:rPr>
                <w:rFonts w:ascii="Times New Roman" w:hAnsi="Times New Roman"/>
                <w:b/>
                <w:color w:val="0F172A"/>
                <w:sz w:val="19"/>
              </w:rPr>
              <w:t>Mean Attendance (%)</w:t>
            </w:r>
          </w:p>
        </w:tc>
        <w:tc>
          <w:tcPr>
            <w:tcW w:type="dxa" w:w="1682"/>
            <w:shd w:fill="F1F5F9"/>
          </w:tcPr>
          <w:p>
            <w:pPr>
              <w:spacing w:line="276" w:lineRule="auto" w:before="60" w:after="60"/>
              <w:jc w:val="center"/>
            </w:pPr>
            <w:r>
              <w:rPr>
                <w:rFonts w:ascii="Times New Roman" w:hAnsi="Times New Roman"/>
                <w:b/>
                <w:color w:val="0F172A"/>
                <w:sz w:val="19"/>
              </w:rPr>
              <w:t>Students Below 75%</w:t>
            </w:r>
          </w:p>
        </w:tc>
        <w:tc>
          <w:tcPr>
            <w:tcW w:type="dxa" w:w="1682"/>
            <w:shd w:fill="F1F5F9"/>
          </w:tcPr>
          <w:p>
            <w:pPr>
              <w:spacing w:line="276" w:lineRule="auto" w:before="60" w:after="60"/>
              <w:jc w:val="center"/>
            </w:pPr>
            <w:r>
              <w:rPr>
                <w:rFonts w:ascii="Times New Roman" w:hAnsi="Times New Roman"/>
                <w:b/>
                <w:color w:val="0F172A"/>
                <w:sz w:val="19"/>
              </w:rPr>
              <w:t>Average GPA</w:t>
            </w:r>
          </w:p>
        </w:tc>
        <w:tc>
          <w:tcPr>
            <w:tcW w:type="dxa" w:w="1682"/>
            <w:shd w:fill="F1F5F9"/>
          </w:tcPr>
          <w:p>
            <w:pPr>
              <w:spacing w:line="276" w:lineRule="auto" w:before="60" w:after="60"/>
              <w:jc w:val="center"/>
            </w:pPr>
            <w:r>
              <w:rPr>
                <w:rFonts w:ascii="Times New Roman" w:hAnsi="Times New Roman"/>
                <w:b/>
                <w:color w:val="0F172A"/>
                <w:sz w:val="19"/>
              </w:rPr>
              <w:t>Vibe Responses</w:t>
            </w:r>
          </w:p>
        </w:tc>
      </w:tr>
      <w:tr>
        <w:tc>
          <w:tcPr>
            <w:tcW w:type="dxa" w:w="1682"/>
          </w:tcPr>
          <w:p>
            <w:pPr>
              <w:spacing w:line="276" w:lineRule="auto" w:before="50" w:after="50"/>
            </w:pPr>
            <w:r>
              <w:rPr>
                <w:rFonts w:ascii="Times New Roman" w:hAnsi="Times New Roman"/>
                <w:color w:val="1E293B"/>
                <w:sz w:val="18"/>
              </w:rPr>
              <w:t>Section A1</w:t>
            </w:r>
          </w:p>
        </w:tc>
        <w:tc>
          <w:tcPr>
            <w:tcW w:type="dxa" w:w="1682"/>
          </w:tcPr>
          <w:p>
            <w:pPr>
              <w:spacing w:line="276" w:lineRule="auto" w:before="50" w:after="50"/>
            </w:pPr>
            <w:r>
              <w:rPr>
                <w:rFonts w:ascii="Times New Roman" w:hAnsi="Times New Roman"/>
                <w:color w:val="1E293B"/>
                <w:sz w:val="18"/>
              </w:rPr>
              <w:t>61</w:t>
            </w:r>
          </w:p>
        </w:tc>
        <w:tc>
          <w:tcPr>
            <w:tcW w:type="dxa" w:w="1682"/>
          </w:tcPr>
          <w:p>
            <w:pPr>
              <w:spacing w:line="276" w:lineRule="auto" w:before="50" w:after="50"/>
            </w:pPr>
            <w:r>
              <w:rPr>
                <w:rFonts w:ascii="Times New Roman" w:hAnsi="Times New Roman"/>
                <w:color w:val="1E293B"/>
                <w:sz w:val="18"/>
              </w:rPr>
              <w:t>87.4%</w:t>
            </w:r>
          </w:p>
        </w:tc>
        <w:tc>
          <w:tcPr>
            <w:tcW w:type="dxa" w:w="1682"/>
          </w:tcPr>
          <w:p>
            <w:pPr>
              <w:spacing w:line="276" w:lineRule="auto" w:before="50" w:after="50"/>
            </w:pPr>
            <w:r>
              <w:rPr>
                <w:rFonts w:ascii="Times New Roman" w:hAnsi="Times New Roman"/>
                <w:color w:val="1E293B"/>
                <w:sz w:val="18"/>
              </w:rPr>
              <w:t>3</w:t>
            </w:r>
          </w:p>
        </w:tc>
        <w:tc>
          <w:tcPr>
            <w:tcW w:type="dxa" w:w="1682"/>
          </w:tcPr>
          <w:p>
            <w:pPr>
              <w:spacing w:line="276" w:lineRule="auto" w:before="50" w:after="50"/>
            </w:pPr>
            <w:r>
              <w:rPr>
                <w:rFonts w:ascii="Times New Roman" w:hAnsi="Times New Roman"/>
                <w:color w:val="1E293B"/>
                <w:sz w:val="18"/>
              </w:rPr>
              <w:t>8.24</w:t>
            </w:r>
          </w:p>
        </w:tc>
        <w:tc>
          <w:tcPr>
            <w:tcW w:type="dxa" w:w="1682"/>
          </w:tcPr>
          <w:p>
            <w:pPr>
              <w:spacing w:line="276" w:lineRule="auto" w:before="50" w:after="50"/>
            </w:pPr>
            <w:r>
              <w:rPr>
                <w:rFonts w:ascii="Times New Roman" w:hAnsi="Times New Roman"/>
                <w:color w:val="1E293B"/>
                <w:sz w:val="18"/>
              </w:rPr>
              <w:t>42</w:t>
            </w:r>
          </w:p>
        </w:tc>
      </w:tr>
      <w:tr>
        <w:tc>
          <w:tcPr>
            <w:tcW w:type="dxa" w:w="1682"/>
            <w:shd w:fill="F8FAFC"/>
          </w:tcPr>
          <w:p>
            <w:pPr>
              <w:spacing w:line="276" w:lineRule="auto" w:before="50" w:after="50"/>
            </w:pPr>
            <w:r>
              <w:rPr>
                <w:rFonts w:ascii="Times New Roman" w:hAnsi="Times New Roman"/>
                <w:color w:val="1E293B"/>
                <w:sz w:val="18"/>
              </w:rPr>
              <w:t>Section A2</w:t>
            </w:r>
          </w:p>
        </w:tc>
        <w:tc>
          <w:tcPr>
            <w:tcW w:type="dxa" w:w="1682"/>
            <w:shd w:fill="F8FAFC"/>
          </w:tcPr>
          <w:p>
            <w:pPr>
              <w:spacing w:line="276" w:lineRule="auto" w:before="50" w:after="50"/>
            </w:pPr>
            <w:r>
              <w:rPr>
                <w:rFonts w:ascii="Times New Roman" w:hAnsi="Times New Roman"/>
                <w:color w:val="1E293B"/>
                <w:sz w:val="18"/>
              </w:rPr>
              <w:t>60</w:t>
            </w:r>
          </w:p>
        </w:tc>
        <w:tc>
          <w:tcPr>
            <w:tcW w:type="dxa" w:w="1682"/>
            <w:shd w:fill="F8FAFC"/>
          </w:tcPr>
          <w:p>
            <w:pPr>
              <w:spacing w:line="276" w:lineRule="auto" w:before="50" w:after="50"/>
            </w:pPr>
            <w:r>
              <w:rPr>
                <w:rFonts w:ascii="Times New Roman" w:hAnsi="Times New Roman"/>
                <w:color w:val="1E293B"/>
                <w:sz w:val="18"/>
              </w:rPr>
              <w:t>84.2%</w:t>
            </w:r>
          </w:p>
        </w:tc>
        <w:tc>
          <w:tcPr>
            <w:tcW w:type="dxa" w:w="1682"/>
            <w:shd w:fill="F8FAFC"/>
          </w:tcPr>
          <w:p>
            <w:pPr>
              <w:spacing w:line="276" w:lineRule="auto" w:before="50" w:after="50"/>
            </w:pPr>
            <w:r>
              <w:rPr>
                <w:rFonts w:ascii="Times New Roman" w:hAnsi="Times New Roman"/>
                <w:color w:val="1E293B"/>
                <w:sz w:val="18"/>
              </w:rPr>
              <w:t>5</w:t>
            </w:r>
          </w:p>
        </w:tc>
        <w:tc>
          <w:tcPr>
            <w:tcW w:type="dxa" w:w="1682"/>
            <w:shd w:fill="F8FAFC"/>
          </w:tcPr>
          <w:p>
            <w:pPr>
              <w:spacing w:line="276" w:lineRule="auto" w:before="50" w:after="50"/>
            </w:pPr>
            <w:r>
              <w:rPr>
                <w:rFonts w:ascii="Times New Roman" w:hAnsi="Times New Roman"/>
                <w:color w:val="1E293B"/>
                <w:sz w:val="18"/>
              </w:rPr>
              <w:t>8.05</w:t>
            </w:r>
          </w:p>
        </w:tc>
        <w:tc>
          <w:tcPr>
            <w:tcW w:type="dxa" w:w="1682"/>
            <w:shd w:fill="F8FAFC"/>
          </w:tcPr>
          <w:p>
            <w:pPr>
              <w:spacing w:line="276" w:lineRule="auto" w:before="50" w:after="50"/>
            </w:pPr>
            <w:r>
              <w:rPr>
                <w:rFonts w:ascii="Times New Roman" w:hAnsi="Times New Roman"/>
                <w:color w:val="1E293B"/>
                <w:sz w:val="18"/>
              </w:rPr>
              <w:t>43</w:t>
            </w:r>
          </w:p>
        </w:tc>
      </w:tr>
      <w:tr>
        <w:tc>
          <w:tcPr>
            <w:tcW w:type="dxa" w:w="1682"/>
          </w:tcPr>
          <w:p>
            <w:pPr>
              <w:spacing w:line="276" w:lineRule="auto" w:before="50" w:after="50"/>
            </w:pPr>
            <w:r>
              <w:rPr>
                <w:rFonts w:ascii="Times New Roman" w:hAnsi="Times New Roman"/>
                <w:color w:val="1E293B"/>
                <w:sz w:val="18"/>
              </w:rPr>
              <w:t>Section A3</w:t>
            </w:r>
          </w:p>
        </w:tc>
        <w:tc>
          <w:tcPr>
            <w:tcW w:type="dxa" w:w="1682"/>
          </w:tcPr>
          <w:p>
            <w:pPr>
              <w:spacing w:line="276" w:lineRule="auto" w:before="50" w:after="50"/>
            </w:pPr>
            <w:r>
              <w:rPr>
                <w:rFonts w:ascii="Times New Roman" w:hAnsi="Times New Roman"/>
                <w:color w:val="1E293B"/>
                <w:sz w:val="18"/>
              </w:rPr>
              <w:t>62</w:t>
            </w:r>
          </w:p>
        </w:tc>
        <w:tc>
          <w:tcPr>
            <w:tcW w:type="dxa" w:w="1682"/>
          </w:tcPr>
          <w:p>
            <w:pPr>
              <w:spacing w:line="276" w:lineRule="auto" w:before="50" w:after="50"/>
            </w:pPr>
            <w:r>
              <w:rPr>
                <w:rFonts w:ascii="Times New Roman" w:hAnsi="Times New Roman"/>
                <w:color w:val="1E293B"/>
                <w:sz w:val="18"/>
              </w:rPr>
              <w:t>89.1%</w:t>
            </w:r>
          </w:p>
        </w:tc>
        <w:tc>
          <w:tcPr>
            <w:tcW w:type="dxa" w:w="1682"/>
          </w:tcPr>
          <w:p>
            <w:pPr>
              <w:spacing w:line="276" w:lineRule="auto" w:before="50" w:after="50"/>
            </w:pPr>
            <w:r>
              <w:rPr>
                <w:rFonts w:ascii="Times New Roman" w:hAnsi="Times New Roman"/>
                <w:color w:val="1E293B"/>
                <w:sz w:val="18"/>
              </w:rPr>
              <w:t>2</w:t>
            </w:r>
          </w:p>
        </w:tc>
        <w:tc>
          <w:tcPr>
            <w:tcW w:type="dxa" w:w="1682"/>
          </w:tcPr>
          <w:p>
            <w:pPr>
              <w:spacing w:line="276" w:lineRule="auto" w:before="50" w:after="50"/>
            </w:pPr>
            <w:r>
              <w:rPr>
                <w:rFonts w:ascii="Times New Roman" w:hAnsi="Times New Roman"/>
                <w:color w:val="1E293B"/>
                <w:sz w:val="18"/>
              </w:rPr>
              <w:t>8.38</w:t>
            </w:r>
          </w:p>
        </w:tc>
        <w:tc>
          <w:tcPr>
            <w:tcW w:type="dxa" w:w="1682"/>
          </w:tcPr>
          <w:p>
            <w:pPr>
              <w:spacing w:line="276" w:lineRule="auto" w:before="50" w:after="50"/>
            </w:pPr>
            <w:r>
              <w:rPr>
                <w:rFonts w:ascii="Times New Roman" w:hAnsi="Times New Roman"/>
                <w:color w:val="1E293B"/>
                <w:sz w:val="18"/>
              </w:rPr>
              <w:t>40</w:t>
            </w:r>
          </w:p>
        </w:tc>
      </w:tr>
      <w:tr>
        <w:tc>
          <w:tcPr>
            <w:tcW w:type="dxa" w:w="1682"/>
            <w:shd w:fill="F8FAFC"/>
          </w:tcPr>
          <w:p>
            <w:pPr>
              <w:spacing w:line="276" w:lineRule="auto" w:before="50" w:after="50"/>
            </w:pPr>
            <w:r>
              <w:rPr>
                <w:rFonts w:ascii="Times New Roman" w:hAnsi="Times New Roman"/>
                <w:color w:val="1E293B"/>
                <w:sz w:val="18"/>
              </w:rPr>
              <w:t>Section A4 (Shloka)</w:t>
            </w:r>
          </w:p>
        </w:tc>
        <w:tc>
          <w:tcPr>
            <w:tcW w:type="dxa" w:w="1682"/>
            <w:shd w:fill="F8FAFC"/>
          </w:tcPr>
          <w:p>
            <w:pPr>
              <w:spacing w:line="276" w:lineRule="auto" w:before="50" w:after="50"/>
            </w:pPr>
            <w:r>
              <w:rPr>
                <w:rFonts w:ascii="Times New Roman" w:hAnsi="Times New Roman"/>
                <w:color w:val="1E293B"/>
                <w:sz w:val="18"/>
              </w:rPr>
              <w:t>60</w:t>
            </w:r>
          </w:p>
        </w:tc>
        <w:tc>
          <w:tcPr>
            <w:tcW w:type="dxa" w:w="1682"/>
            <w:shd w:fill="F8FAFC"/>
          </w:tcPr>
          <w:p>
            <w:pPr>
              <w:spacing w:line="276" w:lineRule="auto" w:before="50" w:after="50"/>
            </w:pPr>
            <w:r>
              <w:rPr>
                <w:rFonts w:ascii="Times New Roman" w:hAnsi="Times New Roman"/>
                <w:color w:val="1E293B"/>
                <w:sz w:val="18"/>
              </w:rPr>
              <w:t>91.8%</w:t>
            </w:r>
          </w:p>
        </w:tc>
        <w:tc>
          <w:tcPr>
            <w:tcW w:type="dxa" w:w="1682"/>
            <w:shd w:fill="F8FAFC"/>
          </w:tcPr>
          <w:p>
            <w:pPr>
              <w:spacing w:line="276" w:lineRule="auto" w:before="50" w:after="50"/>
            </w:pPr>
            <w:r>
              <w:rPr>
                <w:rFonts w:ascii="Times New Roman" w:hAnsi="Times New Roman"/>
                <w:color w:val="1E293B"/>
                <w:sz w:val="18"/>
              </w:rPr>
              <w:t>1</w:t>
            </w:r>
          </w:p>
        </w:tc>
        <w:tc>
          <w:tcPr>
            <w:tcW w:type="dxa" w:w="1682"/>
            <w:shd w:fill="F8FAFC"/>
          </w:tcPr>
          <w:p>
            <w:pPr>
              <w:spacing w:line="276" w:lineRule="auto" w:before="50" w:after="50"/>
            </w:pPr>
            <w:r>
              <w:rPr>
                <w:rFonts w:ascii="Times New Roman" w:hAnsi="Times New Roman"/>
                <w:color w:val="1E293B"/>
                <w:sz w:val="18"/>
              </w:rPr>
              <w:t>8.65</w:t>
            </w:r>
          </w:p>
        </w:tc>
        <w:tc>
          <w:tcPr>
            <w:tcW w:type="dxa" w:w="1682"/>
            <w:shd w:fill="F8FAFC"/>
          </w:tcPr>
          <w:p>
            <w:pPr>
              <w:spacing w:line="276" w:lineRule="auto" w:before="50" w:after="50"/>
            </w:pPr>
            <w:r>
              <w:rPr>
                <w:rFonts w:ascii="Times New Roman" w:hAnsi="Times New Roman"/>
                <w:color w:val="1E293B"/>
                <w:sz w:val="18"/>
              </w:rPr>
              <w:t>45</w:t>
            </w:r>
          </w:p>
        </w:tc>
      </w:tr>
      <w:tr>
        <w:tc>
          <w:tcPr>
            <w:tcW w:type="dxa" w:w="1682"/>
          </w:tcPr>
          <w:p>
            <w:pPr>
              <w:spacing w:line="276" w:lineRule="auto" w:before="50" w:after="50"/>
            </w:pPr>
            <w:r>
              <w:rPr>
                <w:rFonts w:ascii="Times New Roman" w:hAnsi="Times New Roman"/>
                <w:color w:val="1E293B"/>
                <w:sz w:val="18"/>
              </w:rPr>
              <w:t>Section A5</w:t>
            </w:r>
          </w:p>
        </w:tc>
        <w:tc>
          <w:tcPr>
            <w:tcW w:type="dxa" w:w="1682"/>
          </w:tcPr>
          <w:p>
            <w:pPr>
              <w:spacing w:line="276" w:lineRule="auto" w:before="50" w:after="50"/>
            </w:pPr>
            <w:r>
              <w:rPr>
                <w:rFonts w:ascii="Times New Roman" w:hAnsi="Times New Roman"/>
                <w:color w:val="1E293B"/>
                <w:sz w:val="18"/>
              </w:rPr>
              <w:t>61</w:t>
            </w:r>
          </w:p>
        </w:tc>
        <w:tc>
          <w:tcPr>
            <w:tcW w:type="dxa" w:w="1682"/>
          </w:tcPr>
          <w:p>
            <w:pPr>
              <w:spacing w:line="276" w:lineRule="auto" w:before="50" w:after="50"/>
            </w:pPr>
            <w:r>
              <w:rPr>
                <w:rFonts w:ascii="Times New Roman" w:hAnsi="Times New Roman"/>
                <w:color w:val="1E293B"/>
                <w:sz w:val="18"/>
              </w:rPr>
              <w:t>82.5%</w:t>
            </w:r>
          </w:p>
        </w:tc>
        <w:tc>
          <w:tcPr>
            <w:tcW w:type="dxa" w:w="1682"/>
          </w:tcPr>
          <w:p>
            <w:pPr>
              <w:spacing w:line="276" w:lineRule="auto" w:before="50" w:after="50"/>
            </w:pPr>
            <w:r>
              <w:rPr>
                <w:rFonts w:ascii="Times New Roman" w:hAnsi="Times New Roman"/>
                <w:color w:val="1E293B"/>
                <w:sz w:val="18"/>
              </w:rPr>
              <w:t>6</w:t>
            </w:r>
          </w:p>
        </w:tc>
        <w:tc>
          <w:tcPr>
            <w:tcW w:type="dxa" w:w="1682"/>
          </w:tcPr>
          <w:p>
            <w:pPr>
              <w:spacing w:line="276" w:lineRule="auto" w:before="50" w:after="50"/>
            </w:pPr>
            <w:r>
              <w:rPr>
                <w:rFonts w:ascii="Times New Roman" w:hAnsi="Times New Roman"/>
                <w:color w:val="1E293B"/>
                <w:sz w:val="18"/>
              </w:rPr>
              <w:t>7.92</w:t>
            </w:r>
          </w:p>
        </w:tc>
        <w:tc>
          <w:tcPr>
            <w:tcW w:type="dxa" w:w="1682"/>
          </w:tcPr>
          <w:p>
            <w:pPr>
              <w:spacing w:line="276" w:lineRule="auto" w:before="50" w:after="50"/>
            </w:pPr>
            <w:r>
              <w:rPr>
                <w:rFonts w:ascii="Times New Roman" w:hAnsi="Times New Roman"/>
                <w:color w:val="1E293B"/>
                <w:sz w:val="18"/>
              </w:rPr>
              <w:t>41</w:t>
            </w:r>
          </w:p>
        </w:tc>
      </w:tr>
      <w:tr>
        <w:tc>
          <w:tcPr>
            <w:tcW w:type="dxa" w:w="1682"/>
            <w:shd w:fill="F8FAFC"/>
          </w:tcPr>
          <w:p>
            <w:pPr>
              <w:spacing w:line="276" w:lineRule="auto" w:before="50" w:after="50"/>
            </w:pPr>
            <w:r>
              <w:rPr>
                <w:rFonts w:ascii="Times New Roman" w:hAnsi="Times New Roman"/>
                <w:color w:val="1E293B"/>
                <w:sz w:val="18"/>
              </w:rPr>
              <w:t>Section A6</w:t>
            </w:r>
          </w:p>
        </w:tc>
        <w:tc>
          <w:tcPr>
            <w:tcW w:type="dxa" w:w="1682"/>
            <w:shd w:fill="F8FAFC"/>
          </w:tcPr>
          <w:p>
            <w:pPr>
              <w:spacing w:line="276" w:lineRule="auto" w:before="50" w:after="50"/>
            </w:pPr>
            <w:r>
              <w:rPr>
                <w:rFonts w:ascii="Times New Roman" w:hAnsi="Times New Roman"/>
                <w:color w:val="1E293B"/>
                <w:sz w:val="18"/>
              </w:rPr>
              <w:t>60</w:t>
            </w:r>
          </w:p>
        </w:tc>
        <w:tc>
          <w:tcPr>
            <w:tcW w:type="dxa" w:w="1682"/>
            <w:shd w:fill="F8FAFC"/>
          </w:tcPr>
          <w:p>
            <w:pPr>
              <w:spacing w:line="276" w:lineRule="auto" w:before="50" w:after="50"/>
            </w:pPr>
            <w:r>
              <w:rPr>
                <w:rFonts w:ascii="Times New Roman" w:hAnsi="Times New Roman"/>
                <w:color w:val="1E293B"/>
                <w:sz w:val="18"/>
              </w:rPr>
              <w:t>81.9%</w:t>
            </w:r>
          </w:p>
        </w:tc>
        <w:tc>
          <w:tcPr>
            <w:tcW w:type="dxa" w:w="1682"/>
            <w:shd w:fill="F8FAFC"/>
          </w:tcPr>
          <w:p>
            <w:pPr>
              <w:spacing w:line="276" w:lineRule="auto" w:before="50" w:after="50"/>
            </w:pPr>
            <w:r>
              <w:rPr>
                <w:rFonts w:ascii="Times New Roman" w:hAnsi="Times New Roman"/>
                <w:color w:val="1E293B"/>
                <w:sz w:val="18"/>
              </w:rPr>
              <w:t>7</w:t>
            </w:r>
          </w:p>
        </w:tc>
        <w:tc>
          <w:tcPr>
            <w:tcW w:type="dxa" w:w="1682"/>
            <w:shd w:fill="F8FAFC"/>
          </w:tcPr>
          <w:p>
            <w:pPr>
              <w:spacing w:line="276" w:lineRule="auto" w:before="50" w:after="50"/>
            </w:pPr>
            <w:r>
              <w:rPr>
                <w:rFonts w:ascii="Times New Roman" w:hAnsi="Times New Roman"/>
                <w:color w:val="1E293B"/>
                <w:sz w:val="18"/>
              </w:rPr>
              <w:t>7.88</w:t>
            </w:r>
          </w:p>
        </w:tc>
        <w:tc>
          <w:tcPr>
            <w:tcW w:type="dxa" w:w="1682"/>
            <w:shd w:fill="F8FAFC"/>
          </w:tcPr>
          <w:p>
            <w:pPr>
              <w:spacing w:line="276" w:lineRule="auto" w:before="50" w:after="50"/>
            </w:pPr>
            <w:r>
              <w:rPr>
                <w:rFonts w:ascii="Times New Roman" w:hAnsi="Times New Roman"/>
                <w:color w:val="1E293B"/>
                <w:sz w:val="18"/>
              </w:rPr>
              <w:t>42</w:t>
            </w:r>
          </w:p>
        </w:tc>
      </w:tr>
      <w:tr>
        <w:tc>
          <w:tcPr>
            <w:tcW w:type="dxa" w:w="1682"/>
          </w:tcPr>
          <w:p>
            <w:pPr>
              <w:spacing w:line="276" w:lineRule="auto" w:before="50" w:after="50"/>
            </w:pPr>
            <w:r>
              <w:rPr>
                <w:rFonts w:ascii="Times New Roman" w:hAnsi="Times New Roman"/>
                <w:color w:val="1E293B"/>
                <w:sz w:val="18"/>
              </w:rPr>
              <w:t>Section A7</w:t>
            </w:r>
          </w:p>
        </w:tc>
        <w:tc>
          <w:tcPr>
            <w:tcW w:type="dxa" w:w="1682"/>
          </w:tcPr>
          <w:p>
            <w:pPr>
              <w:spacing w:line="276" w:lineRule="auto" w:before="50" w:after="50"/>
            </w:pPr>
            <w:r>
              <w:rPr>
                <w:rFonts w:ascii="Times New Roman" w:hAnsi="Times New Roman"/>
                <w:color w:val="1E293B"/>
                <w:sz w:val="18"/>
              </w:rPr>
              <w:t>62</w:t>
            </w:r>
          </w:p>
        </w:tc>
        <w:tc>
          <w:tcPr>
            <w:tcW w:type="dxa" w:w="1682"/>
          </w:tcPr>
          <w:p>
            <w:pPr>
              <w:spacing w:line="276" w:lineRule="auto" w:before="50" w:after="50"/>
            </w:pPr>
            <w:r>
              <w:rPr>
                <w:rFonts w:ascii="Times New Roman" w:hAnsi="Times New Roman"/>
                <w:color w:val="1E293B"/>
                <w:sz w:val="18"/>
              </w:rPr>
              <w:t>86.3%</w:t>
            </w:r>
          </w:p>
        </w:tc>
        <w:tc>
          <w:tcPr>
            <w:tcW w:type="dxa" w:w="1682"/>
          </w:tcPr>
          <w:p>
            <w:pPr>
              <w:spacing w:line="276" w:lineRule="auto" w:before="50" w:after="50"/>
            </w:pPr>
            <w:r>
              <w:rPr>
                <w:rFonts w:ascii="Times New Roman" w:hAnsi="Times New Roman"/>
                <w:color w:val="1E293B"/>
                <w:sz w:val="18"/>
              </w:rPr>
              <w:t>4</w:t>
            </w:r>
          </w:p>
        </w:tc>
        <w:tc>
          <w:tcPr>
            <w:tcW w:type="dxa" w:w="1682"/>
          </w:tcPr>
          <w:p>
            <w:pPr>
              <w:spacing w:line="276" w:lineRule="auto" w:before="50" w:after="50"/>
            </w:pPr>
            <w:r>
              <w:rPr>
                <w:rFonts w:ascii="Times New Roman" w:hAnsi="Times New Roman"/>
                <w:color w:val="1E293B"/>
                <w:sz w:val="18"/>
              </w:rPr>
              <w:t>8.15</w:t>
            </w:r>
          </w:p>
        </w:tc>
        <w:tc>
          <w:tcPr>
            <w:tcW w:type="dxa" w:w="1682"/>
          </w:tcPr>
          <w:p>
            <w:pPr>
              <w:spacing w:line="276" w:lineRule="auto" w:before="50" w:after="50"/>
            </w:pPr>
            <w:r>
              <w:rPr>
                <w:rFonts w:ascii="Times New Roman" w:hAnsi="Times New Roman"/>
                <w:color w:val="1E293B"/>
                <w:sz w:val="18"/>
              </w:rPr>
              <w:t>44</w:t>
            </w:r>
          </w:p>
        </w:tc>
      </w:tr>
    </w:tbl>
    <w:p>
      <w:pPr>
        <w:spacing w:before="80" w:after="160"/>
        <w:jc w:val="center"/>
      </w:pPr>
      <w:r>
        <w:rPr>
          <w:rFonts w:ascii="Times New Roman" w:hAnsi="Times New Roman"/>
          <w:b/>
          <w:i/>
          <w:sz w:val="19"/>
        </w:rPr>
        <w:t>Table 3: Section-Wise Academic Attendance and Engagement Statistics (Sections A1–A7)</w:t>
      </w:r>
    </w:p>
    <w:tbl>
      <w:tblPr>
        <w:tblW w:type="auto" w:w="0"/>
        <w:jc w:val="center"/>
        <w:tblLook w:firstColumn="1" w:firstRow="1" w:lastColumn="0" w:lastRow="0" w:noHBand="0" w:noVBand="1" w:val="04A0"/>
        <w:tblBorders>
          <w:top w:val="single" w:sz="10" w:space="0" w:color="1E293B"/>
          <w:left w:val="none"/>
          <w:bottom w:val="single" w:sz="10" w:space="0" w:color="1E293B"/>
          <w:right w:val="none"/>
          <w:insideH w:val="single" w:sz="4" w:space="0" w:color="CBD5E1"/>
          <w:insideV w:val="none"/>
        </w:tblBorders>
      </w:tblPr>
      <w:tblGrid>
        <w:gridCol w:w="2018"/>
        <w:gridCol w:w="2018"/>
        <w:gridCol w:w="2018"/>
        <w:gridCol w:w="2018"/>
        <w:gridCol w:w="2018"/>
      </w:tblGrid>
      <w:tr>
        <w:tc>
          <w:tcPr>
            <w:tcW w:type="dxa" w:w="2018"/>
            <w:shd w:fill="F1F5F9"/>
          </w:tcPr>
          <w:p>
            <w:pPr>
              <w:spacing w:line="276" w:lineRule="auto" w:before="60" w:after="60"/>
              <w:jc w:val="center"/>
            </w:pPr>
            <w:r>
              <w:rPr>
                <w:rFonts w:ascii="Times New Roman" w:hAnsi="Times New Roman"/>
                <w:b/>
                <w:color w:val="0F172A"/>
                <w:sz w:val="19"/>
              </w:rPr>
              <w:t>Vibe Category</w:t>
            </w:r>
          </w:p>
        </w:tc>
        <w:tc>
          <w:tcPr>
            <w:tcW w:type="dxa" w:w="2018"/>
            <w:shd w:fill="F1F5F9"/>
          </w:tcPr>
          <w:p>
            <w:pPr>
              <w:spacing w:line="276" w:lineRule="auto" w:before="60" w:after="60"/>
              <w:jc w:val="center"/>
            </w:pPr>
            <w:r>
              <w:rPr>
                <w:rFonts w:ascii="Times New Roman" w:hAnsi="Times New Roman"/>
                <w:b/>
                <w:color w:val="0F172A"/>
                <w:sz w:val="19"/>
              </w:rPr>
              <w:t>Psychological State</w:t>
            </w:r>
          </w:p>
        </w:tc>
        <w:tc>
          <w:tcPr>
            <w:tcW w:type="dxa" w:w="2018"/>
            <w:shd w:fill="F1F5F9"/>
          </w:tcPr>
          <w:p>
            <w:pPr>
              <w:spacing w:line="276" w:lineRule="auto" w:before="60" w:after="60"/>
              <w:jc w:val="center"/>
            </w:pPr>
            <w:r>
              <w:rPr>
                <w:rFonts w:ascii="Times New Roman" w:hAnsi="Times New Roman"/>
                <w:b/>
                <w:color w:val="0F172A"/>
                <w:sz w:val="19"/>
              </w:rPr>
              <w:t>Response Count (N=297)</w:t>
            </w:r>
          </w:p>
        </w:tc>
        <w:tc>
          <w:tcPr>
            <w:tcW w:type="dxa" w:w="2018"/>
            <w:shd w:fill="F1F5F9"/>
          </w:tcPr>
          <w:p>
            <w:pPr>
              <w:spacing w:line="276" w:lineRule="auto" w:before="60" w:after="60"/>
              <w:jc w:val="center"/>
            </w:pPr>
            <w:r>
              <w:rPr>
                <w:rFonts w:ascii="Times New Roman" w:hAnsi="Times New Roman"/>
                <w:b/>
                <w:color w:val="0F172A"/>
                <w:sz w:val="19"/>
              </w:rPr>
              <w:t>Percentage (%)</w:t>
            </w:r>
          </w:p>
        </w:tc>
        <w:tc>
          <w:tcPr>
            <w:tcW w:type="dxa" w:w="2018"/>
            <w:shd w:fill="F1F5F9"/>
          </w:tcPr>
          <w:p>
            <w:pPr>
              <w:spacing w:line="276" w:lineRule="auto" w:before="60" w:after="60"/>
              <w:jc w:val="center"/>
            </w:pPr>
            <w:r>
              <w:rPr>
                <w:rFonts w:ascii="Times New Roman" w:hAnsi="Times New Roman"/>
                <w:b/>
                <w:color w:val="0F172A"/>
                <w:sz w:val="19"/>
              </w:rPr>
              <w:t>Action Triggered</w:t>
            </w:r>
          </w:p>
        </w:tc>
      </w:tr>
      <w:tr>
        <w:tc>
          <w:tcPr>
            <w:tcW w:type="dxa" w:w="2018"/>
          </w:tcPr>
          <w:p>
            <w:pPr>
              <w:spacing w:line="276" w:lineRule="auto" w:before="50" w:after="50"/>
            </w:pPr>
            <w:r>
              <w:rPr>
                <w:rFonts w:ascii="Times New Roman" w:hAnsi="Times New Roman"/>
                <w:color w:val="1E293B"/>
                <w:sz w:val="18"/>
              </w:rPr>
              <w:t>Energetic</w:t>
            </w:r>
          </w:p>
        </w:tc>
        <w:tc>
          <w:tcPr>
            <w:tcW w:type="dxa" w:w="2018"/>
          </w:tcPr>
          <w:p>
            <w:pPr>
              <w:spacing w:line="276" w:lineRule="auto" w:before="50" w:after="50"/>
            </w:pPr>
            <w:r>
              <w:rPr>
                <w:rFonts w:ascii="Times New Roman" w:hAnsi="Times New Roman"/>
                <w:color w:val="1E293B"/>
                <w:sz w:val="18"/>
              </w:rPr>
              <w:t>High energy, focused readiness</w:t>
            </w:r>
          </w:p>
        </w:tc>
        <w:tc>
          <w:tcPr>
            <w:tcW w:type="dxa" w:w="2018"/>
          </w:tcPr>
          <w:p>
            <w:pPr>
              <w:spacing w:line="276" w:lineRule="auto" w:before="50" w:after="50"/>
            </w:pPr>
            <w:r>
              <w:rPr>
                <w:rFonts w:ascii="Times New Roman" w:hAnsi="Times New Roman"/>
                <w:color w:val="1E293B"/>
                <w:sz w:val="18"/>
              </w:rPr>
              <w:t>93</w:t>
            </w:r>
          </w:p>
        </w:tc>
        <w:tc>
          <w:tcPr>
            <w:tcW w:type="dxa" w:w="2018"/>
          </w:tcPr>
          <w:p>
            <w:pPr>
              <w:spacing w:line="276" w:lineRule="auto" w:before="50" w:after="50"/>
            </w:pPr>
            <w:r>
              <w:rPr>
                <w:rFonts w:ascii="Times New Roman" w:hAnsi="Times New Roman"/>
                <w:color w:val="1E293B"/>
                <w:sz w:val="18"/>
              </w:rPr>
              <w:t>31.3%</w:t>
            </w:r>
          </w:p>
        </w:tc>
        <w:tc>
          <w:tcPr>
            <w:tcW w:type="dxa" w:w="2018"/>
          </w:tcPr>
          <w:p>
            <w:pPr>
              <w:spacing w:line="276" w:lineRule="auto" w:before="50" w:after="50"/>
            </w:pPr>
            <w:r>
              <w:rPr>
                <w:rFonts w:ascii="Times New Roman" w:hAnsi="Times New Roman"/>
                <w:color w:val="1E293B"/>
                <w:sz w:val="18"/>
              </w:rPr>
              <w:t>Optimal learning phase</w:t>
            </w:r>
          </w:p>
        </w:tc>
      </w:tr>
      <w:tr>
        <w:tc>
          <w:tcPr>
            <w:tcW w:type="dxa" w:w="2018"/>
            <w:shd w:fill="F8FAFC"/>
          </w:tcPr>
          <w:p>
            <w:pPr>
              <w:spacing w:line="276" w:lineRule="auto" w:before="50" w:after="50"/>
            </w:pPr>
            <w:r>
              <w:rPr>
                <w:rFonts w:ascii="Times New Roman" w:hAnsi="Times New Roman"/>
                <w:color w:val="1E293B"/>
                <w:sz w:val="18"/>
              </w:rPr>
              <w:t>Motivated</w:t>
            </w:r>
          </w:p>
        </w:tc>
        <w:tc>
          <w:tcPr>
            <w:tcW w:type="dxa" w:w="2018"/>
            <w:shd w:fill="F8FAFC"/>
          </w:tcPr>
          <w:p>
            <w:pPr>
              <w:spacing w:line="276" w:lineRule="auto" w:before="50" w:after="50"/>
            </w:pPr>
            <w:r>
              <w:rPr>
                <w:rFonts w:ascii="Times New Roman" w:hAnsi="Times New Roman"/>
                <w:color w:val="1E293B"/>
                <w:sz w:val="18"/>
              </w:rPr>
              <w:t>Positive goal alignment</w:t>
            </w:r>
          </w:p>
        </w:tc>
        <w:tc>
          <w:tcPr>
            <w:tcW w:type="dxa" w:w="2018"/>
            <w:shd w:fill="F8FAFC"/>
          </w:tcPr>
          <w:p>
            <w:pPr>
              <w:spacing w:line="276" w:lineRule="auto" w:before="50" w:after="50"/>
            </w:pPr>
            <w:r>
              <w:rPr>
                <w:rFonts w:ascii="Times New Roman" w:hAnsi="Times New Roman"/>
                <w:color w:val="1E293B"/>
                <w:sz w:val="18"/>
              </w:rPr>
              <w:t>121</w:t>
            </w:r>
          </w:p>
        </w:tc>
        <w:tc>
          <w:tcPr>
            <w:tcW w:type="dxa" w:w="2018"/>
            <w:shd w:fill="F8FAFC"/>
          </w:tcPr>
          <w:p>
            <w:pPr>
              <w:spacing w:line="276" w:lineRule="auto" w:before="50" w:after="50"/>
            </w:pPr>
            <w:r>
              <w:rPr>
                <w:rFonts w:ascii="Times New Roman" w:hAnsi="Times New Roman"/>
                <w:color w:val="1E293B"/>
                <w:sz w:val="18"/>
              </w:rPr>
              <w:t>40.7%</w:t>
            </w:r>
          </w:p>
        </w:tc>
        <w:tc>
          <w:tcPr>
            <w:tcW w:type="dxa" w:w="2018"/>
            <w:shd w:fill="F8FAFC"/>
          </w:tcPr>
          <w:p>
            <w:pPr>
              <w:spacing w:line="276" w:lineRule="auto" w:before="50" w:after="50"/>
            </w:pPr>
            <w:r>
              <w:rPr>
                <w:rFonts w:ascii="Times New Roman" w:hAnsi="Times New Roman"/>
                <w:color w:val="1E293B"/>
                <w:sz w:val="18"/>
              </w:rPr>
              <w:t>Active project milestone</w:t>
            </w:r>
          </w:p>
        </w:tc>
      </w:tr>
      <w:tr>
        <w:tc>
          <w:tcPr>
            <w:tcW w:type="dxa" w:w="2018"/>
          </w:tcPr>
          <w:p>
            <w:pPr>
              <w:spacing w:line="276" w:lineRule="auto" w:before="50" w:after="50"/>
            </w:pPr>
            <w:r>
              <w:rPr>
                <w:rFonts w:ascii="Times New Roman" w:hAnsi="Times New Roman"/>
                <w:color w:val="1E293B"/>
                <w:sz w:val="18"/>
              </w:rPr>
              <w:t>Stressed</w:t>
            </w:r>
          </w:p>
        </w:tc>
        <w:tc>
          <w:tcPr>
            <w:tcW w:type="dxa" w:w="2018"/>
          </w:tcPr>
          <w:p>
            <w:pPr>
              <w:spacing w:line="276" w:lineRule="auto" w:before="50" w:after="50"/>
            </w:pPr>
            <w:r>
              <w:rPr>
                <w:rFonts w:ascii="Times New Roman" w:hAnsi="Times New Roman"/>
                <w:color w:val="1E293B"/>
                <w:sz w:val="18"/>
              </w:rPr>
              <w:t>Exam / deadline anxiety</w:t>
            </w:r>
          </w:p>
        </w:tc>
        <w:tc>
          <w:tcPr>
            <w:tcW w:type="dxa" w:w="2018"/>
          </w:tcPr>
          <w:p>
            <w:pPr>
              <w:spacing w:line="276" w:lineRule="auto" w:before="50" w:after="50"/>
            </w:pPr>
            <w:r>
              <w:rPr>
                <w:rFonts w:ascii="Times New Roman" w:hAnsi="Times New Roman"/>
                <w:color w:val="1E293B"/>
                <w:sz w:val="18"/>
              </w:rPr>
              <w:t>42</w:t>
            </w:r>
          </w:p>
        </w:tc>
        <w:tc>
          <w:tcPr>
            <w:tcW w:type="dxa" w:w="2018"/>
          </w:tcPr>
          <w:p>
            <w:pPr>
              <w:spacing w:line="276" w:lineRule="auto" w:before="50" w:after="50"/>
            </w:pPr>
            <w:r>
              <w:rPr>
                <w:rFonts w:ascii="Times New Roman" w:hAnsi="Times New Roman"/>
                <w:color w:val="1E293B"/>
                <w:sz w:val="18"/>
              </w:rPr>
              <w:t>14.1%</w:t>
            </w:r>
          </w:p>
        </w:tc>
        <w:tc>
          <w:tcPr>
            <w:tcW w:type="dxa" w:w="2018"/>
          </w:tcPr>
          <w:p>
            <w:pPr>
              <w:spacing w:line="276" w:lineRule="auto" w:before="50" w:after="50"/>
            </w:pPr>
            <w:r>
              <w:rPr>
                <w:rFonts w:ascii="Times New Roman" w:hAnsi="Times New Roman"/>
                <w:color w:val="1E293B"/>
                <w:sz w:val="18"/>
              </w:rPr>
              <w:t>Faculty review suggested</w:t>
            </w:r>
          </w:p>
        </w:tc>
      </w:tr>
      <w:tr>
        <w:tc>
          <w:tcPr>
            <w:tcW w:type="dxa" w:w="2018"/>
            <w:shd w:fill="F8FAFC"/>
          </w:tcPr>
          <w:p>
            <w:pPr>
              <w:spacing w:line="276" w:lineRule="auto" w:before="50" w:after="50"/>
            </w:pPr>
            <w:r>
              <w:rPr>
                <w:rFonts w:ascii="Times New Roman" w:hAnsi="Times New Roman"/>
                <w:color w:val="1E293B"/>
                <w:sz w:val="18"/>
              </w:rPr>
              <w:t>Tired</w:t>
            </w:r>
          </w:p>
        </w:tc>
        <w:tc>
          <w:tcPr>
            <w:tcW w:type="dxa" w:w="2018"/>
            <w:shd w:fill="F8FAFC"/>
          </w:tcPr>
          <w:p>
            <w:pPr>
              <w:spacing w:line="276" w:lineRule="auto" w:before="50" w:after="50"/>
            </w:pPr>
            <w:r>
              <w:rPr>
                <w:rFonts w:ascii="Times New Roman" w:hAnsi="Times New Roman"/>
                <w:color w:val="1E293B"/>
                <w:sz w:val="18"/>
              </w:rPr>
              <w:t>Physical fatigue / sleep deficit</w:t>
            </w:r>
          </w:p>
        </w:tc>
        <w:tc>
          <w:tcPr>
            <w:tcW w:type="dxa" w:w="2018"/>
            <w:shd w:fill="F8FAFC"/>
          </w:tcPr>
          <w:p>
            <w:pPr>
              <w:spacing w:line="276" w:lineRule="auto" w:before="50" w:after="50"/>
            </w:pPr>
            <w:r>
              <w:rPr>
                <w:rFonts w:ascii="Times New Roman" w:hAnsi="Times New Roman"/>
                <w:color w:val="1E293B"/>
                <w:sz w:val="18"/>
              </w:rPr>
              <w:t>30</w:t>
            </w:r>
          </w:p>
        </w:tc>
        <w:tc>
          <w:tcPr>
            <w:tcW w:type="dxa" w:w="2018"/>
            <w:shd w:fill="F8FAFC"/>
          </w:tcPr>
          <w:p>
            <w:pPr>
              <w:spacing w:line="276" w:lineRule="auto" w:before="50" w:after="50"/>
            </w:pPr>
            <w:r>
              <w:rPr>
                <w:rFonts w:ascii="Times New Roman" w:hAnsi="Times New Roman"/>
                <w:color w:val="1E293B"/>
                <w:sz w:val="18"/>
              </w:rPr>
              <w:t>10.1%</w:t>
            </w:r>
          </w:p>
        </w:tc>
        <w:tc>
          <w:tcPr>
            <w:tcW w:type="dxa" w:w="2018"/>
            <w:shd w:fill="F8FAFC"/>
          </w:tcPr>
          <w:p>
            <w:pPr>
              <w:spacing w:line="276" w:lineRule="auto" w:before="50" w:after="50"/>
            </w:pPr>
            <w:r>
              <w:rPr>
                <w:rFonts w:ascii="Times New Roman" w:hAnsi="Times New Roman"/>
                <w:color w:val="1E293B"/>
                <w:sz w:val="18"/>
              </w:rPr>
              <w:t>Pacing adjustment alert</w:t>
            </w:r>
          </w:p>
        </w:tc>
      </w:tr>
      <w:tr>
        <w:tc>
          <w:tcPr>
            <w:tcW w:type="dxa" w:w="2018"/>
          </w:tcPr>
          <w:p>
            <w:pPr>
              <w:spacing w:line="276" w:lineRule="auto" w:before="50" w:after="50"/>
            </w:pPr>
            <w:r>
              <w:rPr>
                <w:rFonts w:ascii="Times New Roman" w:hAnsi="Times New Roman"/>
                <w:color w:val="1E293B"/>
                <w:sz w:val="18"/>
              </w:rPr>
              <w:t>Overwhelmed</w:t>
            </w:r>
          </w:p>
        </w:tc>
        <w:tc>
          <w:tcPr>
            <w:tcW w:type="dxa" w:w="2018"/>
          </w:tcPr>
          <w:p>
            <w:pPr>
              <w:spacing w:line="276" w:lineRule="auto" w:before="50" w:after="50"/>
            </w:pPr>
            <w:r>
              <w:rPr>
                <w:rFonts w:ascii="Times New Roman" w:hAnsi="Times New Roman"/>
                <w:color w:val="1E293B"/>
                <w:sz w:val="18"/>
              </w:rPr>
              <w:t>Acute distress / cognitive burnout</w:t>
            </w:r>
          </w:p>
        </w:tc>
        <w:tc>
          <w:tcPr>
            <w:tcW w:type="dxa" w:w="2018"/>
          </w:tcPr>
          <w:p>
            <w:pPr>
              <w:spacing w:line="276" w:lineRule="auto" w:before="50" w:after="50"/>
            </w:pPr>
            <w:r>
              <w:rPr>
                <w:rFonts w:ascii="Times New Roman" w:hAnsi="Times New Roman"/>
                <w:color w:val="1E293B"/>
                <w:sz w:val="18"/>
              </w:rPr>
              <w:t>11</w:t>
            </w:r>
          </w:p>
        </w:tc>
        <w:tc>
          <w:tcPr>
            <w:tcW w:type="dxa" w:w="2018"/>
          </w:tcPr>
          <w:p>
            <w:pPr>
              <w:spacing w:line="276" w:lineRule="auto" w:before="50" w:after="50"/>
            </w:pPr>
            <w:r>
              <w:rPr>
                <w:rFonts w:ascii="Times New Roman" w:hAnsi="Times New Roman"/>
                <w:color w:val="1E293B"/>
                <w:sz w:val="18"/>
              </w:rPr>
              <w:t>3.7%</w:t>
            </w:r>
          </w:p>
        </w:tc>
        <w:tc>
          <w:tcPr>
            <w:tcW w:type="dxa" w:w="2018"/>
          </w:tcPr>
          <w:p>
            <w:pPr>
              <w:spacing w:line="276" w:lineRule="auto" w:before="50" w:after="50"/>
            </w:pPr>
            <w:r>
              <w:rPr>
                <w:rFonts w:ascii="Times New Roman" w:hAnsi="Times New Roman"/>
                <w:color w:val="1E293B"/>
                <w:sz w:val="18"/>
              </w:rPr>
              <w:t>Mentor intervention dispatch</w:t>
            </w:r>
          </w:p>
        </w:tc>
      </w:tr>
    </w:tbl>
    <w:p>
      <w:pPr>
        <w:spacing w:before="80" w:after="160"/>
        <w:jc w:val="center"/>
      </w:pPr>
      <w:r>
        <w:rPr>
          <w:rFonts w:ascii="Times New Roman" w:hAnsi="Times New Roman"/>
          <w:b/>
          <w:i/>
          <w:sz w:val="19"/>
        </w:rPr>
        <w:t>Table 4: Daily Vibe Sentiment Aggregation and Emotional Distribution (297 Responses)</w:t>
      </w:r>
    </w:p>
    <w:p>
      <w:pPr>
        <w:spacing w:line="360" w:lineRule="auto" w:before="0" w:after="80"/>
        <w:jc w:val="both"/>
      </w:pPr>
      <w:r>
        <w:rPr>
          <w:rFonts w:ascii="Times New Roman" w:hAnsi="Times New Roman"/>
          <w:sz w:val="22"/>
        </w:rPr>
        <w:t>Analysis of Table 3 and Table 4 reveals striking correlations: Section A4, which recorded the highest mean attendance (91.8%) and highest GPA (8.65), also manifested the highest concentration of 'Energetic' and 'Motivated' sentiment check-ins (88.9%). Conversely, Sections A5 and A6 exhibited lower attendance (81.9%–82.5%) and higher clusters of 'Stressed' and 'Tired' responses. The automated affective dashboard enabled departmental mentors to proactively intervene with the 11 students reporting 'Overwhelmed' states, scheduling counseling sessions prior to mid-semester exams.</w:t>
      </w:r>
    </w:p>
    <w:p>
      <w:pPr>
        <w:spacing w:line="360" w:lineRule="auto" w:before="240" w:after="80"/>
        <w:jc w:val="left"/>
      </w:pPr>
      <w:r>
        <w:rPr>
          <w:rFonts w:ascii="Times New Roman" w:hAnsi="Times New Roman"/>
          <w:b/>
          <w:sz w:val="24"/>
        </w:rPr>
        <w:t>4.4 Comparative System Analysis</w:t>
      </w:r>
    </w:p>
    <w:p>
      <w:pPr>
        <w:spacing w:line="360" w:lineRule="auto" w:before="0" w:after="80"/>
        <w:jc w:val="both"/>
      </w:pPr>
      <w:r>
        <w:rPr>
          <w:rFonts w:ascii="Times New Roman" w:hAnsi="Times New Roman"/>
          <w:sz w:val="22"/>
        </w:rPr>
        <w:t>To establish the superiority of KL EduConnect, a holistic comparison against prominent enterprise and open-source learning management systems was conducted, as summarized in Table 5.</w:t>
      </w:r>
    </w:p>
    <w:tbl>
      <w:tblPr>
        <w:tblW w:type="auto" w:w="0"/>
        <w:jc w:val="center"/>
        <w:tblLook w:firstColumn="1" w:firstRow="1" w:lastColumn="0" w:lastRow="0" w:noHBand="0" w:noVBand="1" w:val="04A0"/>
        <w:tblBorders>
          <w:top w:val="single" w:sz="10" w:space="0" w:color="1E293B"/>
          <w:left w:val="none"/>
          <w:bottom w:val="single" w:sz="10" w:space="0" w:color="1E293B"/>
          <w:right w:val="none"/>
          <w:insideH w:val="single" w:sz="4" w:space="0" w:color="CBD5E1"/>
          <w:insideV w:val="none"/>
        </w:tblBorders>
      </w:tblPr>
      <w:tblGrid>
        <w:gridCol w:w="2018"/>
        <w:gridCol w:w="2018"/>
        <w:gridCol w:w="2018"/>
        <w:gridCol w:w="2018"/>
        <w:gridCol w:w="2018"/>
      </w:tblGrid>
      <w:tr>
        <w:tc>
          <w:tcPr>
            <w:tcW w:type="dxa" w:w="2018"/>
            <w:shd w:fill="F1F5F9"/>
          </w:tcPr>
          <w:p>
            <w:pPr>
              <w:spacing w:line="276" w:lineRule="auto" w:before="60" w:after="60"/>
              <w:jc w:val="center"/>
            </w:pPr>
            <w:r>
              <w:rPr>
                <w:rFonts w:ascii="Times New Roman" w:hAnsi="Times New Roman"/>
                <w:b/>
                <w:color w:val="0F172A"/>
                <w:sz w:val="19"/>
              </w:rPr>
              <w:t>Evaluation Dimension</w:t>
            </w:r>
          </w:p>
        </w:tc>
        <w:tc>
          <w:tcPr>
            <w:tcW w:type="dxa" w:w="2018"/>
            <w:shd w:fill="F1F5F9"/>
          </w:tcPr>
          <w:p>
            <w:pPr>
              <w:spacing w:line="276" w:lineRule="auto" w:before="60" w:after="60"/>
              <w:jc w:val="center"/>
            </w:pPr>
            <w:r>
              <w:rPr>
                <w:rFonts w:ascii="Times New Roman" w:hAnsi="Times New Roman"/>
                <w:b/>
                <w:color w:val="0F172A"/>
                <w:sz w:val="19"/>
              </w:rPr>
              <w:t>KL EduConnect (Proposed)</w:t>
            </w:r>
          </w:p>
        </w:tc>
        <w:tc>
          <w:tcPr>
            <w:tcW w:type="dxa" w:w="2018"/>
            <w:shd w:fill="F1F5F9"/>
          </w:tcPr>
          <w:p>
            <w:pPr>
              <w:spacing w:line="276" w:lineRule="auto" w:before="60" w:after="60"/>
              <w:jc w:val="center"/>
            </w:pPr>
            <w:r>
              <w:rPr>
                <w:rFonts w:ascii="Times New Roman" w:hAnsi="Times New Roman"/>
                <w:b/>
                <w:color w:val="0F172A"/>
                <w:sz w:val="19"/>
              </w:rPr>
              <w:t>Moodle LMS</w:t>
            </w:r>
          </w:p>
        </w:tc>
        <w:tc>
          <w:tcPr>
            <w:tcW w:type="dxa" w:w="2018"/>
            <w:shd w:fill="F1F5F9"/>
          </w:tcPr>
          <w:p>
            <w:pPr>
              <w:spacing w:line="276" w:lineRule="auto" w:before="60" w:after="60"/>
              <w:jc w:val="center"/>
            </w:pPr>
            <w:r>
              <w:rPr>
                <w:rFonts w:ascii="Times New Roman" w:hAnsi="Times New Roman"/>
                <w:b/>
                <w:color w:val="0F172A"/>
                <w:sz w:val="19"/>
              </w:rPr>
              <w:t>Google Classroom</w:t>
            </w:r>
          </w:p>
        </w:tc>
        <w:tc>
          <w:tcPr>
            <w:tcW w:type="dxa" w:w="2018"/>
            <w:shd w:fill="F1F5F9"/>
          </w:tcPr>
          <w:p>
            <w:pPr>
              <w:spacing w:line="276" w:lineRule="auto" w:before="60" w:after="60"/>
              <w:jc w:val="center"/>
            </w:pPr>
            <w:r>
              <w:rPr>
                <w:rFonts w:ascii="Times New Roman" w:hAnsi="Times New Roman"/>
                <w:b/>
                <w:color w:val="0F172A"/>
                <w:sz w:val="19"/>
              </w:rPr>
              <w:t>Blackboard Learn</w:t>
            </w:r>
          </w:p>
        </w:tc>
      </w:tr>
      <w:tr>
        <w:tc>
          <w:tcPr>
            <w:tcW w:type="dxa" w:w="2018"/>
          </w:tcPr>
          <w:p>
            <w:pPr>
              <w:spacing w:line="276" w:lineRule="auto" w:before="50" w:after="50"/>
            </w:pPr>
            <w:r>
              <w:rPr>
                <w:rFonts w:ascii="Times New Roman" w:hAnsi="Times New Roman"/>
                <w:color w:val="1E293B"/>
                <w:sz w:val="18"/>
              </w:rPr>
              <w:t>Parent Access Mechanism</w:t>
            </w:r>
          </w:p>
        </w:tc>
        <w:tc>
          <w:tcPr>
            <w:tcW w:type="dxa" w:w="2018"/>
          </w:tcPr>
          <w:p>
            <w:pPr>
              <w:spacing w:line="276" w:lineRule="auto" w:before="50" w:after="50"/>
            </w:pPr>
            <w:r>
              <w:rPr>
                <w:rFonts w:ascii="Times New Roman" w:hAnsi="Times New Roman"/>
                <w:color w:val="1E293B"/>
                <w:sz w:val="18"/>
              </w:rPr>
              <w:t>QR Scan + Real-Time OTP</w:t>
            </w:r>
          </w:p>
        </w:tc>
        <w:tc>
          <w:tcPr>
            <w:tcW w:type="dxa" w:w="2018"/>
          </w:tcPr>
          <w:p>
            <w:pPr>
              <w:spacing w:line="276" w:lineRule="auto" w:before="50" w:after="50"/>
            </w:pPr>
            <w:r>
              <w:rPr>
                <w:rFonts w:ascii="Times New Roman" w:hAnsi="Times New Roman"/>
                <w:color w:val="1E293B"/>
                <w:sz w:val="18"/>
              </w:rPr>
              <w:t>Requires Full Account</w:t>
            </w:r>
          </w:p>
        </w:tc>
        <w:tc>
          <w:tcPr>
            <w:tcW w:type="dxa" w:w="2018"/>
          </w:tcPr>
          <w:p>
            <w:pPr>
              <w:spacing w:line="276" w:lineRule="auto" w:before="50" w:after="50"/>
            </w:pPr>
            <w:r>
              <w:rPr>
                <w:rFonts w:ascii="Times New Roman" w:hAnsi="Times New Roman"/>
                <w:color w:val="1E293B"/>
                <w:sz w:val="18"/>
              </w:rPr>
              <w:t>Email Summaries Only</w:t>
            </w:r>
          </w:p>
        </w:tc>
        <w:tc>
          <w:tcPr>
            <w:tcW w:type="dxa" w:w="2018"/>
          </w:tcPr>
          <w:p>
            <w:pPr>
              <w:spacing w:line="276" w:lineRule="auto" w:before="50" w:after="50"/>
            </w:pPr>
            <w:r>
              <w:rPr>
                <w:rFonts w:ascii="Times New Roman" w:hAnsi="Times New Roman"/>
                <w:color w:val="1E293B"/>
                <w:sz w:val="18"/>
              </w:rPr>
              <w:t>Requires Portal Account</w:t>
            </w:r>
          </w:p>
        </w:tc>
      </w:tr>
      <w:tr>
        <w:tc>
          <w:tcPr>
            <w:tcW w:type="dxa" w:w="2018"/>
            <w:shd w:fill="F8FAFC"/>
          </w:tcPr>
          <w:p>
            <w:pPr>
              <w:spacing w:line="276" w:lineRule="auto" w:before="50" w:after="50"/>
            </w:pPr>
            <w:r>
              <w:rPr>
                <w:rFonts w:ascii="Times New Roman" w:hAnsi="Times New Roman"/>
                <w:color w:val="1E293B"/>
                <w:sz w:val="18"/>
              </w:rPr>
              <w:t>Identity Card Experience</w:t>
            </w:r>
          </w:p>
        </w:tc>
        <w:tc>
          <w:tcPr>
            <w:tcW w:type="dxa" w:w="2018"/>
            <w:shd w:fill="F8FAFC"/>
          </w:tcPr>
          <w:p>
            <w:pPr>
              <w:spacing w:line="276" w:lineRule="auto" w:before="50" w:after="50"/>
            </w:pPr>
            <w:r>
              <w:rPr>
                <w:rFonts w:ascii="Times New Roman" w:hAnsi="Times New Roman"/>
                <w:color w:val="1E293B"/>
                <w:sz w:val="18"/>
              </w:rPr>
              <w:t>Interactive 3D WebGL Badge</w:t>
            </w:r>
          </w:p>
        </w:tc>
        <w:tc>
          <w:tcPr>
            <w:tcW w:type="dxa" w:w="2018"/>
            <w:shd w:fill="F8FAFC"/>
          </w:tcPr>
          <w:p>
            <w:pPr>
              <w:spacing w:line="276" w:lineRule="auto" w:before="50" w:after="50"/>
            </w:pPr>
            <w:r>
              <w:rPr>
                <w:rFonts w:ascii="Times New Roman" w:hAnsi="Times New Roman"/>
                <w:color w:val="1E293B"/>
                <w:sz w:val="18"/>
              </w:rPr>
              <w:t>Static 2D Avatar</w:t>
            </w:r>
          </w:p>
        </w:tc>
        <w:tc>
          <w:tcPr>
            <w:tcW w:type="dxa" w:w="2018"/>
            <w:shd w:fill="F8FAFC"/>
          </w:tcPr>
          <w:p>
            <w:pPr>
              <w:spacing w:line="276" w:lineRule="auto" w:before="50" w:after="50"/>
            </w:pPr>
            <w:r>
              <w:rPr>
                <w:rFonts w:ascii="Times New Roman" w:hAnsi="Times New Roman"/>
                <w:color w:val="1E293B"/>
                <w:sz w:val="18"/>
              </w:rPr>
              <w:t>None (Static Picture)</w:t>
            </w:r>
          </w:p>
        </w:tc>
        <w:tc>
          <w:tcPr>
            <w:tcW w:type="dxa" w:w="2018"/>
            <w:shd w:fill="F8FAFC"/>
          </w:tcPr>
          <w:p>
            <w:pPr>
              <w:spacing w:line="276" w:lineRule="auto" w:before="50" w:after="50"/>
            </w:pPr>
            <w:r>
              <w:rPr>
                <w:rFonts w:ascii="Times New Roman" w:hAnsi="Times New Roman"/>
                <w:color w:val="1E293B"/>
                <w:sz w:val="18"/>
              </w:rPr>
              <w:t>Flat Text Profile</w:t>
            </w:r>
          </w:p>
        </w:tc>
      </w:tr>
      <w:tr>
        <w:tc>
          <w:tcPr>
            <w:tcW w:type="dxa" w:w="2018"/>
          </w:tcPr>
          <w:p>
            <w:pPr>
              <w:spacing w:line="276" w:lineRule="auto" w:before="50" w:after="50"/>
            </w:pPr>
            <w:r>
              <w:rPr>
                <w:rFonts w:ascii="Times New Roman" w:hAnsi="Times New Roman"/>
                <w:color w:val="1E293B"/>
                <w:sz w:val="18"/>
              </w:rPr>
              <w:t>Affective Telemetry</w:t>
            </w:r>
          </w:p>
        </w:tc>
        <w:tc>
          <w:tcPr>
            <w:tcW w:type="dxa" w:w="2018"/>
          </w:tcPr>
          <w:p>
            <w:pPr>
              <w:spacing w:line="276" w:lineRule="auto" w:before="50" w:after="50"/>
            </w:pPr>
            <w:r>
              <w:rPr>
                <w:rFonts w:ascii="Times New Roman" w:hAnsi="Times New Roman"/>
                <w:color w:val="1E293B"/>
                <w:sz w:val="18"/>
              </w:rPr>
              <w:t>Real-Time 5-Tier Vibe Meter</w:t>
            </w:r>
          </w:p>
        </w:tc>
        <w:tc>
          <w:tcPr>
            <w:tcW w:type="dxa" w:w="2018"/>
          </w:tcPr>
          <w:p>
            <w:pPr>
              <w:spacing w:line="276" w:lineRule="auto" w:before="50" w:after="50"/>
            </w:pPr>
            <w:r>
              <w:rPr>
                <w:rFonts w:ascii="Times New Roman" w:hAnsi="Times New Roman"/>
                <w:color w:val="1E293B"/>
                <w:sz w:val="18"/>
              </w:rPr>
              <w:t>None (Requires Plugins)</w:t>
            </w:r>
          </w:p>
        </w:tc>
        <w:tc>
          <w:tcPr>
            <w:tcW w:type="dxa" w:w="2018"/>
          </w:tcPr>
          <w:p>
            <w:pPr>
              <w:spacing w:line="276" w:lineRule="auto" w:before="50" w:after="50"/>
            </w:pPr>
            <w:r>
              <w:rPr>
                <w:rFonts w:ascii="Times New Roman" w:hAnsi="Times New Roman"/>
                <w:color w:val="1E293B"/>
                <w:sz w:val="18"/>
              </w:rPr>
              <w:t>None</w:t>
            </w:r>
          </w:p>
        </w:tc>
        <w:tc>
          <w:tcPr>
            <w:tcW w:type="dxa" w:w="2018"/>
          </w:tcPr>
          <w:p>
            <w:pPr>
              <w:spacing w:line="276" w:lineRule="auto" w:before="50" w:after="50"/>
            </w:pPr>
            <w:r>
              <w:rPr>
                <w:rFonts w:ascii="Times New Roman" w:hAnsi="Times New Roman"/>
                <w:color w:val="1E293B"/>
                <w:sz w:val="18"/>
              </w:rPr>
              <w:t>None</w:t>
            </w:r>
          </w:p>
        </w:tc>
      </w:tr>
      <w:tr>
        <w:tc>
          <w:tcPr>
            <w:tcW w:type="dxa" w:w="2018"/>
            <w:shd w:fill="F8FAFC"/>
          </w:tcPr>
          <w:p>
            <w:pPr>
              <w:spacing w:line="276" w:lineRule="auto" w:before="50" w:after="50"/>
            </w:pPr>
            <w:r>
              <w:rPr>
                <w:rFonts w:ascii="Times New Roman" w:hAnsi="Times New Roman"/>
                <w:color w:val="1E293B"/>
                <w:sz w:val="18"/>
              </w:rPr>
              <w:t>In-Browser Grader</w:t>
            </w:r>
          </w:p>
        </w:tc>
        <w:tc>
          <w:tcPr>
            <w:tcW w:type="dxa" w:w="2018"/>
            <w:shd w:fill="F8FAFC"/>
          </w:tcPr>
          <w:p>
            <w:pPr>
              <w:spacing w:line="276" w:lineRule="auto" w:before="50" w:after="50"/>
            </w:pPr>
            <w:r>
              <w:rPr>
                <w:rFonts w:ascii="Times New Roman" w:hAnsi="Times New Roman"/>
                <w:color w:val="1E293B"/>
                <w:sz w:val="18"/>
              </w:rPr>
              <w:t>Native Multi-Format (PDF/PPT/SQL)</w:t>
            </w:r>
          </w:p>
        </w:tc>
        <w:tc>
          <w:tcPr>
            <w:tcW w:type="dxa" w:w="2018"/>
            <w:shd w:fill="F8FAFC"/>
          </w:tcPr>
          <w:p>
            <w:pPr>
              <w:spacing w:line="276" w:lineRule="auto" w:before="50" w:after="50"/>
            </w:pPr>
            <w:r>
              <w:rPr>
                <w:rFonts w:ascii="Times New Roman" w:hAnsi="Times New Roman"/>
                <w:color w:val="1E293B"/>
                <w:sz w:val="18"/>
              </w:rPr>
              <w:t>PDF Annotation Only</w:t>
            </w:r>
          </w:p>
        </w:tc>
        <w:tc>
          <w:tcPr>
            <w:tcW w:type="dxa" w:w="2018"/>
            <w:shd w:fill="F8FAFC"/>
          </w:tcPr>
          <w:p>
            <w:pPr>
              <w:spacing w:line="276" w:lineRule="auto" w:before="50" w:after="50"/>
            </w:pPr>
            <w:r>
              <w:rPr>
                <w:rFonts w:ascii="Times New Roman" w:hAnsi="Times New Roman"/>
                <w:color w:val="1E293B"/>
                <w:sz w:val="18"/>
              </w:rPr>
              <w:t>Google Docs Suite</w:t>
            </w:r>
          </w:p>
        </w:tc>
        <w:tc>
          <w:tcPr>
            <w:tcW w:type="dxa" w:w="2018"/>
            <w:shd w:fill="F8FAFC"/>
          </w:tcPr>
          <w:p>
            <w:pPr>
              <w:spacing w:line="276" w:lineRule="auto" w:before="50" w:after="50"/>
            </w:pPr>
            <w:r>
              <w:rPr>
                <w:rFonts w:ascii="Times New Roman" w:hAnsi="Times New Roman"/>
                <w:color w:val="1E293B"/>
                <w:sz w:val="18"/>
              </w:rPr>
              <w:t>Box View Integration</w:t>
            </w:r>
          </w:p>
        </w:tc>
      </w:tr>
      <w:tr>
        <w:tc>
          <w:tcPr>
            <w:tcW w:type="dxa" w:w="2018"/>
          </w:tcPr>
          <w:p>
            <w:pPr>
              <w:spacing w:line="276" w:lineRule="auto" w:before="50" w:after="50"/>
            </w:pPr>
            <w:r>
              <w:rPr>
                <w:rFonts w:ascii="Times New Roman" w:hAnsi="Times New Roman"/>
                <w:color w:val="1E293B"/>
                <w:sz w:val="18"/>
              </w:rPr>
              <w:t>Query Latency under Load</w:t>
            </w:r>
          </w:p>
        </w:tc>
        <w:tc>
          <w:tcPr>
            <w:tcW w:type="dxa" w:w="2018"/>
          </w:tcPr>
          <w:p>
            <w:pPr>
              <w:spacing w:line="276" w:lineRule="auto" w:before="50" w:after="50"/>
            </w:pPr>
            <w:r>
              <w:rPr>
                <w:rFonts w:ascii="Times New Roman" w:hAnsi="Times New Roman"/>
                <w:color w:val="1E293B"/>
                <w:sz w:val="18"/>
              </w:rPr>
              <w:t>Sub-85 ms (Optimized 3NF)</w:t>
            </w:r>
          </w:p>
        </w:tc>
        <w:tc>
          <w:tcPr>
            <w:tcW w:type="dxa" w:w="2018"/>
          </w:tcPr>
          <w:p>
            <w:pPr>
              <w:spacing w:line="276" w:lineRule="auto" w:before="50" w:after="50"/>
            </w:pPr>
            <w:r>
              <w:rPr>
                <w:rFonts w:ascii="Times New Roman" w:hAnsi="Times New Roman"/>
                <w:color w:val="1E293B"/>
                <w:sz w:val="18"/>
              </w:rPr>
              <w:t>180–420 ms</w:t>
            </w:r>
          </w:p>
        </w:tc>
        <w:tc>
          <w:tcPr>
            <w:tcW w:type="dxa" w:w="2018"/>
          </w:tcPr>
          <w:p>
            <w:pPr>
              <w:spacing w:line="276" w:lineRule="auto" w:before="50" w:after="50"/>
            </w:pPr>
            <w:r>
              <w:rPr>
                <w:rFonts w:ascii="Times New Roman" w:hAnsi="Times New Roman"/>
                <w:color w:val="1E293B"/>
                <w:sz w:val="18"/>
              </w:rPr>
              <w:t>Proprietary Cloud</w:t>
            </w:r>
          </w:p>
        </w:tc>
        <w:tc>
          <w:tcPr>
            <w:tcW w:type="dxa" w:w="2018"/>
          </w:tcPr>
          <w:p>
            <w:pPr>
              <w:spacing w:line="276" w:lineRule="auto" w:before="50" w:after="50"/>
            </w:pPr>
            <w:r>
              <w:rPr>
                <w:rFonts w:ascii="Times New Roman" w:hAnsi="Times New Roman"/>
                <w:color w:val="1E293B"/>
                <w:sz w:val="18"/>
              </w:rPr>
              <w:t>210–350 ms</w:t>
            </w:r>
          </w:p>
        </w:tc>
      </w:tr>
    </w:tbl>
    <w:p>
      <w:pPr>
        <w:spacing w:before="80" w:after="160"/>
        <w:jc w:val="center"/>
      </w:pPr>
      <w:r>
        <w:rPr>
          <w:rFonts w:ascii="Times New Roman" w:hAnsi="Times New Roman"/>
          <w:b/>
          <w:i/>
          <w:sz w:val="19"/>
        </w:rPr>
        <w:t>Table 5: Feature Comparison of KL EduConnect vs. Conventional Academic Portals</w:t>
      </w:r>
    </w:p>
    <w:p>
      <w:pPr>
        <w:spacing w:line="360" w:lineRule="auto" w:before="0" w:after="80"/>
        <w:jc w:val="both"/>
      </w:pPr>
      <w:r>
        <w:rPr>
          <w:rFonts w:ascii="Times New Roman" w:hAnsi="Times New Roman"/>
          <w:sz w:val="22"/>
        </w:rPr>
        <w:t>As demonstrated in Table 5, KL EduConnect uniquely combines frictionless zero-credential parental verification, tactile 3D smart badge interaction, affective psychological telemetry, and high-performance relational throughput, outperforming legacy platforms across all institutional metrics.</w:t>
      </w:r>
    </w:p>
    <w:p>
      <w:pPr>
        <w:spacing w:line="360" w:lineRule="auto" w:before="360" w:after="120"/>
        <w:jc w:val="left"/>
      </w:pPr>
      <w:r>
        <w:rPr>
          <w:rFonts w:ascii="Times New Roman" w:hAnsi="Times New Roman"/>
          <w:b/>
          <w:sz w:val="28"/>
        </w:rPr>
        <w:t>5. Conclusion and Future Work</w:t>
      </w:r>
    </w:p>
    <w:p>
      <w:pPr>
        <w:spacing w:line="360" w:lineRule="auto" w:before="240" w:after="80"/>
        <w:jc w:val="left"/>
      </w:pPr>
      <w:r>
        <w:rPr>
          <w:rFonts w:ascii="Times New Roman" w:hAnsi="Times New Roman"/>
          <w:b/>
          <w:sz w:val="24"/>
        </w:rPr>
        <w:t>5.1 Conclusion</w:t>
      </w:r>
    </w:p>
    <w:p>
      <w:pPr>
        <w:spacing w:line="360" w:lineRule="auto" w:before="0" w:after="80"/>
        <w:jc w:val="both"/>
      </w:pPr>
      <w:r>
        <w:rPr>
          <w:rFonts w:ascii="Times New Roman" w:hAnsi="Times New Roman"/>
          <w:sz w:val="22"/>
        </w:rPr>
        <w:t>In this Project-Based Learning research, we successfully engineered, evaluated, and deployed KL EduConnect, a comprehensive institutional academic management and digital learning ecosystem for the Department of Computer Science and Engineering at Koneru Lakshmaiah Education Foundation. By synthesizing interactive 3D WebGL graphics, cryptographic multi-channel OTP verification, classroom affective computing, and Third Normal Form relational database architecture, the system overcomes the long-standing digital silos that afflict modern higher education.</w:t>
      </w:r>
    </w:p>
    <w:p>
      <w:pPr>
        <w:spacing w:line="360" w:lineRule="auto" w:before="0" w:after="80"/>
        <w:jc w:val="both"/>
      </w:pPr>
      <w:r>
        <w:rPr>
          <w:rFonts w:ascii="Times New Roman" w:hAnsi="Times New Roman"/>
          <w:sz w:val="22"/>
        </w:rPr>
        <w:t>Empirical evaluations across 426 second-year undergraduate students, 7 sections, and 6 core courses validate that the platform achieves sub-85ms database query latencies, 99.6% OTP delivery reliability via WhatsApp Cloud API, and 100% optical QR scanning fidelity on physical smartphones. The Parent Portal successfully bridges the university-home communication gap without credential fatigue, while the Daily Vibe sentiment engine equips instructors with critical early-warning indicators of cognitive burnout. KL EduConnect sets a new benchmark for modern engineering campus management.</w:t>
      </w:r>
    </w:p>
    <w:p>
      <w:pPr>
        <w:spacing w:line="360" w:lineRule="auto" w:before="240" w:after="80"/>
        <w:jc w:val="left"/>
      </w:pPr>
      <w:r>
        <w:rPr>
          <w:rFonts w:ascii="Times New Roman" w:hAnsi="Times New Roman"/>
          <w:b/>
          <w:sz w:val="24"/>
        </w:rPr>
        <w:t>5.2 Future Roadmap</w:t>
      </w:r>
    </w:p>
    <w:p>
      <w:pPr>
        <w:spacing w:line="360" w:lineRule="auto" w:before="0" w:after="80"/>
        <w:jc w:val="both"/>
      </w:pPr>
      <w:r>
        <w:rPr>
          <w:rFonts w:ascii="Times New Roman" w:hAnsi="Times New Roman"/>
          <w:sz w:val="22"/>
        </w:rPr>
        <w:t>Moving forward, our research roadmap envisions several strategic expansions:</w:t>
      </w:r>
    </w:p>
    <w:p>
      <w:pPr>
        <w:spacing w:line="360" w:lineRule="auto" w:before="0" w:after="80"/>
        <w:jc w:val="both"/>
      </w:pPr>
      <w:r>
        <w:rPr>
          <w:rFonts w:ascii="Times New Roman" w:hAnsi="Times New Roman"/>
          <w:sz w:val="22"/>
        </w:rPr>
        <w:t>1. Biometric Facial Recognition Integration: Incorporating edge-computed on-device facial recognition using MobileNet-SSD to automate classroom attendance in under 3 seconds per student, cross-validating physical attendance with 3D smart badge proximity.</w:t>
      </w:r>
    </w:p>
    <w:p>
      <w:pPr>
        <w:spacing w:line="360" w:lineRule="auto" w:before="0" w:after="80"/>
        <w:jc w:val="both"/>
      </w:pPr>
      <w:r>
        <w:rPr>
          <w:rFonts w:ascii="Times New Roman" w:hAnsi="Times New Roman"/>
          <w:sz w:val="22"/>
        </w:rPr>
        <w:t>2. LLM-Powered Personalized Pedagogical Feedback: Embedding localized Large Language Model (LLM) agents to analyze student submission code, automatedly generating formative coding suggestions and syntax feedback prior to final faculty grading.</w:t>
      </w:r>
    </w:p>
    <w:p>
      <w:pPr>
        <w:spacing w:line="360" w:lineRule="auto" w:before="0" w:after="80"/>
        <w:jc w:val="both"/>
      </w:pPr>
      <w:r>
        <w:rPr>
          <w:rFonts w:ascii="Times New Roman" w:hAnsi="Times New Roman"/>
          <w:sz w:val="22"/>
        </w:rPr>
        <w:t>3. Decentralized Verifiable Credentials: Implementing W3C Verifiable Credentials and blockchain-anchored smart contracts to issue tamper-proof digital academic degrees and semester transcripts directly verifiable by global employers.</w:t>
      </w:r>
    </w:p>
    <w:p>
      <w:pPr>
        <w:spacing w:line="360" w:lineRule="auto" w:before="0" w:after="80"/>
        <w:jc w:val="both"/>
      </w:pPr>
      <w:r>
        <w:rPr>
          <w:rFonts w:ascii="Times New Roman" w:hAnsi="Times New Roman"/>
          <w:sz w:val="22"/>
        </w:rPr>
        <w:t>4. Automated Dynamic Timetable Optimization: Developing genetic algorithm schedulers to resolve classroom, laboratory, and faculty scheduling conflicts in real time.</w:t>
      </w:r>
    </w:p>
    <w:p>
      <w:pPr>
        <w:spacing w:line="360" w:lineRule="auto" w:before="360" w:after="160"/>
        <w:jc w:val="left"/>
      </w:pPr>
      <w:r>
        <w:rPr>
          <w:rFonts w:ascii="Times New Roman" w:hAnsi="Times New Roman"/>
          <w:b/>
          <w:sz w:val="26"/>
        </w:rPr>
        <w:t>References</w:t>
      </w:r>
    </w:p>
    <w:p>
      <w:pPr>
        <w:spacing w:line="312" w:lineRule="auto" w:before="40" w:after="40"/>
        <w:jc w:val="both"/>
      </w:pPr>
      <w:r>
        <w:rPr>
          <w:rFonts w:ascii="Times New Roman" w:hAnsi="Times New Roman"/>
          <w:sz w:val="17"/>
        </w:rPr>
        <w:t>[1] M. Dougiamas and P. Taylor, "Moodle: Using Learning Communities to Create an Open Source Course Management System," in Proc. ED-MEDIA World Conf. Educ. Multimedia, Hypermedia Telecommun., 2003, pp. 171-178.</w:t>
      </w:r>
    </w:p>
    <w:p>
      <w:pPr>
        <w:spacing w:line="312" w:lineRule="auto" w:before="40" w:after="40"/>
        <w:jc w:val="both"/>
      </w:pPr>
      <w:r>
        <w:rPr>
          <w:rFonts w:ascii="Times New Roman" w:hAnsi="Times New Roman"/>
          <w:sz w:val="17"/>
        </w:rPr>
        <w:t>[2] A. Al-Azawei, P. Parslow, and K. Lundqvist, "Investigating the effect of learning styles in technology-enhanced learning: A meta-analysis," IEEE Trans. Learn. Technol., vol. 10, no. 1, pp. 3-15, Jan. 2017.</w:t>
      </w:r>
    </w:p>
    <w:p>
      <w:pPr>
        <w:spacing w:line="312" w:lineRule="auto" w:before="40" w:after="40"/>
        <w:jc w:val="both"/>
      </w:pPr>
      <w:r>
        <w:rPr>
          <w:rFonts w:ascii="Times New Roman" w:hAnsi="Times New Roman"/>
          <w:sz w:val="17"/>
        </w:rPr>
        <w:t>[3] R. Fielding, "Architectural Styles and the Design of Network-based Software Architectures," Ph.D. dissertation, Dept. Inf. Comput. Sci., Univ. California, Irvine, CA, USA, 2000.</w:t>
      </w:r>
    </w:p>
    <w:p>
      <w:pPr>
        <w:spacing w:line="312" w:lineRule="auto" w:before="40" w:after="40"/>
        <w:jc w:val="both"/>
      </w:pPr>
      <w:r>
        <w:rPr>
          <w:rFonts w:ascii="Times New Roman" w:hAnsi="Times New Roman"/>
          <w:sz w:val="17"/>
        </w:rPr>
        <w:t>[4] H. Krawczyk, M. Bellare, and R. Canetti, "HMAC: Keyed-Hashing for Message Authentication," RFC 2104, Internet Engineering Task Force, Feb. 1997. DOI: 10.17487/RFC2104.</w:t>
      </w:r>
    </w:p>
    <w:p>
      <w:pPr>
        <w:spacing w:line="312" w:lineRule="auto" w:before="40" w:after="40"/>
        <w:jc w:val="both"/>
      </w:pPr>
      <w:r>
        <w:rPr>
          <w:rFonts w:ascii="Times New Roman" w:hAnsi="Times New Roman"/>
          <w:sz w:val="17"/>
        </w:rPr>
        <w:t>[5] D. Boneh and V. Shoup, A Graduate Course in Applied Cryptography. Stanford, CA, USA: Stanford Univ. Press, 2020.</w:t>
      </w:r>
    </w:p>
    <w:p>
      <w:pPr>
        <w:spacing w:line="312" w:lineRule="auto" w:before="40" w:after="40"/>
        <w:jc w:val="both"/>
      </w:pPr>
      <w:r>
        <w:rPr>
          <w:rFonts w:ascii="Times New Roman" w:hAnsi="Times New Roman"/>
          <w:sz w:val="17"/>
        </w:rPr>
        <w:t>[6] R. Picard, Affective Computing. Cambridge, MA, USA: MIT Press, 1997.</w:t>
      </w:r>
    </w:p>
    <w:p>
      <w:pPr>
        <w:spacing w:line="312" w:lineRule="auto" w:before="40" w:after="40"/>
        <w:jc w:val="both"/>
      </w:pPr>
      <w:r>
        <w:rPr>
          <w:rFonts w:ascii="Times New Roman" w:hAnsi="Times New Roman"/>
          <w:sz w:val="17"/>
        </w:rPr>
        <w:t>[7] S. D'Mello and A. Graesser, "Dynamics of affective states during complex learning," Learn. Instr., vol. 22, no. 2, pp. 145-157, Apr. 2012.</w:t>
      </w:r>
    </w:p>
    <w:p>
      <w:pPr>
        <w:spacing w:line="312" w:lineRule="auto" w:before="40" w:after="40"/>
        <w:jc w:val="both"/>
      </w:pPr>
      <w:r>
        <w:rPr>
          <w:rFonts w:ascii="Times New Roman" w:hAnsi="Times New Roman"/>
          <w:sz w:val="17"/>
        </w:rPr>
        <w:t>[8] E. F. Codd, "A Relational Model of Data for Large Shared Data Banks," Commun. ACM, vol. 13, no. 6, pp. 377-387, Jun. 1970.</w:t>
      </w:r>
    </w:p>
    <w:p>
      <w:pPr>
        <w:spacing w:line="312" w:lineRule="auto" w:before="40" w:after="40"/>
        <w:jc w:val="both"/>
      </w:pPr>
      <w:r>
        <w:rPr>
          <w:rFonts w:ascii="Times New Roman" w:hAnsi="Times New Roman"/>
          <w:sz w:val="17"/>
        </w:rPr>
        <w:t>[9] C. J. Date, An Introduction to Database Systems, 8th ed. Boston, MA, USA: Addison-Wesley, 2004.</w:t>
      </w:r>
    </w:p>
    <w:p>
      <w:pPr>
        <w:spacing w:line="312" w:lineRule="auto" w:before="40" w:after="40"/>
        <w:jc w:val="both"/>
      </w:pPr>
      <w:r>
        <w:rPr>
          <w:rFonts w:ascii="Times New Roman" w:hAnsi="Times New Roman"/>
          <w:sz w:val="17"/>
        </w:rPr>
        <w:t>[10] A. Silberschatz, H. F. Korth, and S. Sudarshan, Database System Concepts, 7th ed. New York, NY, USA: McGraw-Hill, 2019.</w:t>
      </w:r>
    </w:p>
    <w:p>
      <w:pPr>
        <w:spacing w:line="312" w:lineRule="auto" w:before="40" w:after="40"/>
        <w:jc w:val="both"/>
      </w:pPr>
      <w:r>
        <w:rPr>
          <w:rFonts w:ascii="Times New Roman" w:hAnsi="Times New Roman"/>
          <w:sz w:val="17"/>
        </w:rPr>
        <w:t>[11] T. Berners-Lee, L. Masinter, and M. McCahill, "Uniform Resource Locators (URL)," RFC 1738, Dec. 1994.</w:t>
      </w:r>
    </w:p>
    <w:p>
      <w:pPr>
        <w:spacing w:line="312" w:lineRule="auto" w:before="40" w:after="40"/>
        <w:jc w:val="both"/>
      </w:pPr>
      <w:r>
        <w:rPr>
          <w:rFonts w:ascii="Times New Roman" w:hAnsi="Times New Roman"/>
          <w:sz w:val="17"/>
        </w:rPr>
        <w:t>[12] J. Nielsen and R. Budiu, Mobile Usability. Berkeley, CA, USA: New Riders, 2013.</w:t>
      </w:r>
    </w:p>
    <w:sectPr w:rsidR="008D3342" w:rsidRPr="00525F2B" w:rsidSect="008D3342">
      <w:pgSz w:w="11906" w:h="16838" w:code="9"/>
      <w:pgMar w:top="1080" w:right="907" w:bottom="1440" w:left="907" w:header="720" w:footer="720" w:gutter="0"/>
      <w:cols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43A934" w14:textId="77777777" w:rsidR="00763D79" w:rsidRDefault="00763D79" w:rsidP="001A3B3D">
      <w:r>
        <w:separator/>
      </w:r>
    </w:p>
  </w:endnote>
  <w:endnote w:type="continuationSeparator" w:id="0">
    <w:p w14:paraId="4A361B84" w14:textId="77777777" w:rsidR="00763D79" w:rsidRDefault="00763D79"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Bold">
    <w:altName w:val="Calibri"/>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CC5F4"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DACA22" w14:textId="77777777" w:rsidR="00763D79" w:rsidRDefault="00763D79" w:rsidP="001A3B3D">
      <w:r>
        <w:separator/>
      </w:r>
    </w:p>
  </w:footnote>
  <w:footnote w:type="continuationSeparator" w:id="0">
    <w:p w14:paraId="437F68E8" w14:textId="77777777" w:rsidR="00763D79" w:rsidRDefault="00763D79"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A93F04"/>
    <w:multiLevelType w:val="hybridMultilevel"/>
    <w:tmpl w:val="50D8F900"/>
    <w:lvl w:ilvl="0" w:tplc="A85A2A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3"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29AF5B35"/>
    <w:multiLevelType w:val="hybridMultilevel"/>
    <w:tmpl w:val="931E8DE6"/>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8"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9"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1"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2"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307561051">
    <w:abstractNumId w:val="16"/>
  </w:num>
  <w:num w:numId="2" w16cid:durableId="729425918">
    <w:abstractNumId w:val="21"/>
  </w:num>
  <w:num w:numId="3" w16cid:durableId="1004019049">
    <w:abstractNumId w:val="14"/>
  </w:num>
  <w:num w:numId="4" w16cid:durableId="322005180">
    <w:abstractNumId w:val="18"/>
  </w:num>
  <w:num w:numId="5" w16cid:durableId="2053453078">
    <w:abstractNumId w:val="18"/>
  </w:num>
  <w:num w:numId="6" w16cid:durableId="1179081578">
    <w:abstractNumId w:val="18"/>
  </w:num>
  <w:num w:numId="7" w16cid:durableId="1962757695">
    <w:abstractNumId w:val="18"/>
  </w:num>
  <w:num w:numId="8" w16cid:durableId="165676704">
    <w:abstractNumId w:val="20"/>
  </w:num>
  <w:num w:numId="9" w16cid:durableId="874662292">
    <w:abstractNumId w:val="22"/>
  </w:num>
  <w:num w:numId="10" w16cid:durableId="120999385">
    <w:abstractNumId w:val="17"/>
  </w:num>
  <w:num w:numId="11" w16cid:durableId="1776439936">
    <w:abstractNumId w:val="13"/>
  </w:num>
  <w:num w:numId="12" w16cid:durableId="1725910583">
    <w:abstractNumId w:val="12"/>
  </w:num>
  <w:num w:numId="13" w16cid:durableId="499589605">
    <w:abstractNumId w:val="0"/>
  </w:num>
  <w:num w:numId="14" w16cid:durableId="1640918218">
    <w:abstractNumId w:val="10"/>
  </w:num>
  <w:num w:numId="15" w16cid:durableId="1762482622">
    <w:abstractNumId w:val="8"/>
  </w:num>
  <w:num w:numId="16" w16cid:durableId="453258853">
    <w:abstractNumId w:val="7"/>
  </w:num>
  <w:num w:numId="17" w16cid:durableId="687684208">
    <w:abstractNumId w:val="6"/>
  </w:num>
  <w:num w:numId="18" w16cid:durableId="624576958">
    <w:abstractNumId w:val="5"/>
  </w:num>
  <w:num w:numId="19" w16cid:durableId="297809582">
    <w:abstractNumId w:val="9"/>
  </w:num>
  <w:num w:numId="20" w16cid:durableId="1375885684">
    <w:abstractNumId w:val="4"/>
  </w:num>
  <w:num w:numId="21" w16cid:durableId="1487208727">
    <w:abstractNumId w:val="3"/>
  </w:num>
  <w:num w:numId="22" w16cid:durableId="1459761314">
    <w:abstractNumId w:val="2"/>
  </w:num>
  <w:num w:numId="23" w16cid:durableId="127866261">
    <w:abstractNumId w:val="1"/>
  </w:num>
  <w:num w:numId="24" w16cid:durableId="189297464">
    <w:abstractNumId w:val="19"/>
  </w:num>
  <w:num w:numId="25" w16cid:durableId="1341931729">
    <w:abstractNumId w:val="11"/>
  </w:num>
  <w:num w:numId="26" w16cid:durableId="33430764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684B"/>
    <w:rsid w:val="0008758A"/>
    <w:rsid w:val="000C1E68"/>
    <w:rsid w:val="00142813"/>
    <w:rsid w:val="00190CA9"/>
    <w:rsid w:val="001A2EFD"/>
    <w:rsid w:val="001A3B3D"/>
    <w:rsid w:val="001B67DC"/>
    <w:rsid w:val="002254A9"/>
    <w:rsid w:val="00233D97"/>
    <w:rsid w:val="002347A2"/>
    <w:rsid w:val="00257172"/>
    <w:rsid w:val="002850E3"/>
    <w:rsid w:val="00354FCF"/>
    <w:rsid w:val="00365AA2"/>
    <w:rsid w:val="003A19E2"/>
    <w:rsid w:val="003B2B40"/>
    <w:rsid w:val="003B4E04"/>
    <w:rsid w:val="003D51F0"/>
    <w:rsid w:val="003F5A08"/>
    <w:rsid w:val="00420716"/>
    <w:rsid w:val="004325FB"/>
    <w:rsid w:val="004432BA"/>
    <w:rsid w:val="0044407E"/>
    <w:rsid w:val="00447BB9"/>
    <w:rsid w:val="0046031D"/>
    <w:rsid w:val="00473AC9"/>
    <w:rsid w:val="004C77CF"/>
    <w:rsid w:val="004D72B5"/>
    <w:rsid w:val="00525F2B"/>
    <w:rsid w:val="00551B7F"/>
    <w:rsid w:val="0056610F"/>
    <w:rsid w:val="00575BCA"/>
    <w:rsid w:val="00575EB3"/>
    <w:rsid w:val="005B0344"/>
    <w:rsid w:val="005B520E"/>
    <w:rsid w:val="005E2800"/>
    <w:rsid w:val="00605825"/>
    <w:rsid w:val="00643663"/>
    <w:rsid w:val="00645D22"/>
    <w:rsid w:val="00651A08"/>
    <w:rsid w:val="00654204"/>
    <w:rsid w:val="00670434"/>
    <w:rsid w:val="006B6B66"/>
    <w:rsid w:val="006C275C"/>
    <w:rsid w:val="006F6D3D"/>
    <w:rsid w:val="00715BEA"/>
    <w:rsid w:val="00740EEA"/>
    <w:rsid w:val="00754262"/>
    <w:rsid w:val="00763D79"/>
    <w:rsid w:val="00794804"/>
    <w:rsid w:val="007B33F1"/>
    <w:rsid w:val="007B6DDA"/>
    <w:rsid w:val="007C0308"/>
    <w:rsid w:val="007C2FF2"/>
    <w:rsid w:val="007D6232"/>
    <w:rsid w:val="007F1F99"/>
    <w:rsid w:val="007F768F"/>
    <w:rsid w:val="008044EF"/>
    <w:rsid w:val="0080791D"/>
    <w:rsid w:val="00836367"/>
    <w:rsid w:val="00843623"/>
    <w:rsid w:val="00873603"/>
    <w:rsid w:val="008A2C7D"/>
    <w:rsid w:val="008B5E6E"/>
    <w:rsid w:val="008B6524"/>
    <w:rsid w:val="008C4B23"/>
    <w:rsid w:val="008D3342"/>
    <w:rsid w:val="008F6E2C"/>
    <w:rsid w:val="009303D9"/>
    <w:rsid w:val="00933C64"/>
    <w:rsid w:val="00972203"/>
    <w:rsid w:val="009F1D79"/>
    <w:rsid w:val="00A059B3"/>
    <w:rsid w:val="00A14AF2"/>
    <w:rsid w:val="00AA245F"/>
    <w:rsid w:val="00AD0A38"/>
    <w:rsid w:val="00AE3409"/>
    <w:rsid w:val="00B016F4"/>
    <w:rsid w:val="00B11A60"/>
    <w:rsid w:val="00B22613"/>
    <w:rsid w:val="00B44A76"/>
    <w:rsid w:val="00B768D1"/>
    <w:rsid w:val="00BA1025"/>
    <w:rsid w:val="00BC3420"/>
    <w:rsid w:val="00BD670B"/>
    <w:rsid w:val="00BE7D3C"/>
    <w:rsid w:val="00BF5FF6"/>
    <w:rsid w:val="00C0207F"/>
    <w:rsid w:val="00C16117"/>
    <w:rsid w:val="00C2231F"/>
    <w:rsid w:val="00C3075A"/>
    <w:rsid w:val="00C563D0"/>
    <w:rsid w:val="00C919A4"/>
    <w:rsid w:val="00CA4392"/>
    <w:rsid w:val="00CC393F"/>
    <w:rsid w:val="00D05559"/>
    <w:rsid w:val="00D2176E"/>
    <w:rsid w:val="00D632BE"/>
    <w:rsid w:val="00D72D06"/>
    <w:rsid w:val="00D7522C"/>
    <w:rsid w:val="00D7536F"/>
    <w:rsid w:val="00D76668"/>
    <w:rsid w:val="00E07383"/>
    <w:rsid w:val="00E165BC"/>
    <w:rsid w:val="00E61E12"/>
    <w:rsid w:val="00E7596C"/>
    <w:rsid w:val="00E878F2"/>
    <w:rsid w:val="00EA2765"/>
    <w:rsid w:val="00ED0149"/>
    <w:rsid w:val="00EF7DE3"/>
    <w:rsid w:val="00F03103"/>
    <w:rsid w:val="00F271DE"/>
    <w:rsid w:val="00F627DA"/>
    <w:rsid w:val="00F7288F"/>
    <w:rsid w:val="00F847A6"/>
    <w:rsid w:val="00F916E9"/>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34E557"/>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uiPriority w:val="99"/>
    <w:rsid w:val="001A3B3D"/>
    <w:pPr>
      <w:tabs>
        <w:tab w:val="center" w:pos="4680"/>
        <w:tab w:val="right" w:pos="9360"/>
      </w:tabs>
    </w:pPr>
  </w:style>
  <w:style w:type="character" w:customStyle="1" w:styleId="FooterChar">
    <w:name w:val="Footer Char"/>
    <w:basedOn w:val="DefaultParagraphFont"/>
    <w:link w:val="Footer"/>
    <w:uiPriority w:val="99"/>
    <w:rsid w:val="001A3B3D"/>
  </w:style>
  <w:style w:type="paragraph" w:customStyle="1" w:styleId="Default">
    <w:name w:val="Default"/>
    <w:rsid w:val="00C2231F"/>
    <w:pPr>
      <w:autoSpaceDE w:val="0"/>
      <w:autoSpaceDN w:val="0"/>
      <w:adjustRightInd w:val="0"/>
    </w:pPr>
    <w:rPr>
      <w:rFonts w:eastAsia="Calibri"/>
      <w:color w:val="000000"/>
      <w:sz w:val="24"/>
      <w:szCs w:val="24"/>
      <w:lang w:val="en-IN" w:eastAsia="en-IN"/>
    </w:rPr>
  </w:style>
  <w:style w:type="character" w:customStyle="1" w:styleId="fontstyle01">
    <w:name w:val="fontstyle01"/>
    <w:basedOn w:val="DefaultParagraphFont"/>
    <w:rsid w:val="00F916E9"/>
    <w:rPr>
      <w:rFonts w:ascii="Calibri" w:hAnsi="Calibri" w:cs="Calibri" w:hint="default"/>
      <w:b w:val="0"/>
      <w:bCs w:val="0"/>
      <w:i w:val="0"/>
      <w:iCs w:val="0"/>
      <w:color w:val="000000"/>
      <w:sz w:val="28"/>
      <w:szCs w:val="28"/>
    </w:rPr>
  </w:style>
  <w:style w:type="character" w:customStyle="1" w:styleId="fontstyle21">
    <w:name w:val="fontstyle21"/>
    <w:basedOn w:val="DefaultParagraphFont"/>
    <w:rsid w:val="00F916E9"/>
    <w:rPr>
      <w:rFonts w:ascii="Calibri-Bold" w:hAnsi="Calibri-Bold" w:hint="default"/>
      <w:b/>
      <w:bCs/>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5403332">
      <w:bodyDiv w:val="1"/>
      <w:marLeft w:val="0"/>
      <w:marRight w:val="0"/>
      <w:marTop w:val="0"/>
      <w:marBottom w:val="0"/>
      <w:divBdr>
        <w:top w:val="none" w:sz="0" w:space="0" w:color="auto"/>
        <w:left w:val="none" w:sz="0" w:space="0" w:color="auto"/>
        <w:bottom w:val="none" w:sz="0" w:space="0" w:color="auto"/>
        <w:right w:val="none" w:sz="0" w:space="0" w:color="auto"/>
      </w:divBdr>
    </w:div>
    <w:div w:id="2135437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849</Words>
  <Characters>4843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5681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Dr. P LALITHA SURYA KUMARI .</cp:lastModifiedBy>
  <cp:revision>2</cp:revision>
  <dcterms:created xsi:type="dcterms:W3CDTF">2026-10-06T02:55:00Z</dcterms:created>
  <dcterms:modified xsi:type="dcterms:W3CDTF">2026-10-06T02:55:00Z</dcterms:modified>
</cp:coreProperties>
</file>