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B9E60" w14:textId="77777777" w:rsidR="00142813" w:rsidRDefault="00142813" w:rsidP="00C2231F">
      <w:pPr>
        <w:pStyle w:val="Default"/>
        <w:spacing w:after="200" w:line="360" w:lineRule="auto"/>
        <w:jc w:val="center"/>
        <w:rPr>
          <w:iCs/>
          <w:sz w:val="32"/>
          <w:szCs w:val="32"/>
        </w:rPr>
      </w:pPr>
    </w:p>
    <w:p w14:paraId="57B3D9C2" w14:textId="2CF12674" w:rsidR="00C2231F" w:rsidRPr="004273FB" w:rsidRDefault="00C2231F" w:rsidP="00C2231F">
      <w:pPr>
        <w:pStyle w:val="Default"/>
        <w:spacing w:after="120" w:line="276" w:lineRule="auto" w:before="0"/>
        <w:jc w:val="center"/>
        <w:rPr>
          <w:iCs/>
          <w:sz w:val="40"/>
          <w:szCs w:val="40"/>
        </w:rPr>
      </w:pPr>
      <w:r/>
      <w:r>
        <w:rPr>
          <w:rFonts w:ascii="Times New Roman" w:hAnsi="Times New Roman"/>
          <w:b/>
          <w:i w:val="0"/>
          <w:color w:val="0F172A"/>
          <w:sz w:val="40"/>
        </w:rPr>
        <w:t>ResumeX: AI-Powered Resume Screening &amp; Intelligent Candidate Ranking System</w:t>
      </w:r>
    </w:p>
    <w:p w14:paraId="51A8E618" w14:textId="58BB002C" w:rsidR="00525F2B" w:rsidRDefault="008B5E6E" w:rsidP="00F916E9">
      <w:pPr>
        <w:spacing w:before="0" w:after="120" w:line="276" w:lineRule="auto"/>
        <w:jc w:val="center"/>
        <w:rPr>
          <w:rFonts w:eastAsia="Times New Roman"/>
          <w:i/>
          <w:iCs/>
          <w:color w:val="000000"/>
          <w:sz w:val="26"/>
          <w:szCs w:val="26"/>
          <w:lang w:val="en-IN" w:eastAsia="en-IN" w:bidi="hi-IN"/>
        </w:rPr>
      </w:pPr>
      <w:r/>
      <w:r>
        <w:rPr>
          <w:rFonts w:ascii="Times New Roman" w:hAnsi="Times New Roman"/>
          <w:b w:val="0"/>
          <w:i/>
          <w:color w:val="334155"/>
          <w:sz w:val="25"/>
        </w:rPr>
        <w:t>A Project Based Learning Report Submitted in partial fulfilment of the requirements for the award of the degree</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spacing w:before="0" w:after="120" w:line="276" w:lineRule="auto"/>
        <w:jc w:val="center"/>
        <w:rPr>
          <w:rFonts w:eastAsia="Times New Roman"/>
          <w:color w:val="000000"/>
          <w:sz w:val="26"/>
          <w:szCs w:val="26"/>
          <w:lang w:val="en-IN" w:eastAsia="en-IN" w:bidi="hi-IN"/>
        </w:rPr>
      </w:pPr>
      <w:r/>
      <w:r>
        <w:rPr>
          <w:rFonts w:ascii="Times New Roman" w:hAnsi="Times New Roman"/>
          <w:b/>
          <w:i w:val="0"/>
          <w:color w:val="000000"/>
          <w:sz w:val="26"/>
        </w:rPr>
        <w:t>of</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120" w:line="276" w:lineRule="auto" w:before="0"/>
        <w:jc w:val="center"/>
        <w:rPr>
          <w:rFonts w:eastAsia="Times New Roman"/>
          <w:b/>
          <w:bCs/>
          <w:sz w:val="28"/>
          <w:szCs w:val="28"/>
          <w:lang w:bidi="hi-IN"/>
        </w:rPr>
      </w:pPr>
      <w:r/>
      <w:r>
        <w:rPr>
          <w:rFonts w:ascii="Times New Roman" w:hAnsi="Times New Roman"/>
          <w:b/>
          <w:i w:val="0"/>
          <w:color w:val="000000"/>
          <w:sz w:val="28"/>
        </w:rPr>
        <w:t>Bachelor of Technology</w:t>
      </w:r>
    </w:p>
    <w:p w14:paraId="2E42833D" w14:textId="5F0A3BF0" w:rsidR="00F916E9" w:rsidRPr="00F916E9" w:rsidRDefault="00F916E9" w:rsidP="00F916E9">
      <w:pPr>
        <w:pStyle w:val="Default"/>
        <w:spacing w:after="120" w:line="276" w:lineRule="auto" w:before="0"/>
        <w:jc w:val="center"/>
        <w:rPr>
          <w:sz w:val="34"/>
          <w:szCs w:val="34"/>
        </w:rPr>
      </w:pPr>
      <w:r/>
      <w:r>
        <w:rPr>
          <w:rFonts w:ascii="Times New Roman" w:hAnsi="Times New Roman"/>
          <w:b/>
          <w:i w:val="0"/>
          <w:color w:val="000000"/>
          <w:sz w:val="28"/>
        </w:rPr>
        <w:t>in The Department of Computer Science and Engineering</w:t>
      </w:r>
    </w:p>
    <w:p w14:paraId="75056B71" w14:textId="581B9BA0" w:rsidR="003D51F0" w:rsidRPr="00190CA9" w:rsidRDefault="003D51F0" w:rsidP="00C2231F">
      <w:pPr>
        <w:pStyle w:val="Default"/>
        <w:spacing w:after="120" w:line="276" w:lineRule="auto" w:before="0"/>
        <w:jc w:val="center"/>
        <w:rPr>
          <w:b/>
          <w:bCs/>
          <w:color w:val="FF0000"/>
          <w:sz w:val="28"/>
          <w:szCs w:val="28"/>
        </w:rPr>
      </w:pPr>
      <w:r/>
      <w:r>
        <w:rPr>
          <w:rFonts w:ascii="Times New Roman" w:hAnsi="Times New Roman"/>
          <w:b/>
          <w:i w:val="0"/>
          <w:color w:val="1E293B"/>
          <w:sz w:val="27"/>
        </w:rPr>
        <w:t>Data Structures and Algorithms (Course Code: 23CS2103)</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80" w:line="276" w:lineRule="auto" w:before="0"/>
        <w:jc w:val="center"/>
        <w:rPr>
          <w:sz w:val="28"/>
          <w:szCs w:val="28"/>
        </w:rPr>
      </w:pPr>
      <w:r/>
      <w:r>
        <w:rPr>
          <w:rFonts w:ascii="Times New Roman" w:hAnsi="Times New Roman"/>
          <w:b w:val="0"/>
          <w:i w:val="0"/>
          <w:color w:val="000000"/>
          <w:sz w:val="26"/>
        </w:rPr>
        <w:t>Submitted by</w:t>
      </w:r>
    </w:p>
    <w:p w14:paraId="3C5BECF8" w14:textId="226B03D2" w:rsidR="00AD0A38" w:rsidRPr="008B5E6E" w:rsidRDefault="00AD0A38" w:rsidP="00C2231F">
      <w:pPr>
        <w:pStyle w:val="Default"/>
        <w:spacing w:after="40" w:line="276" w:lineRule="auto" w:before="20"/>
        <w:jc w:val="center"/>
        <w:rPr>
          <w:b/>
          <w:bCs/>
          <w:sz w:val="28"/>
          <w:szCs w:val="28"/>
        </w:rPr>
      </w:pPr>
      <w:r/>
      <w:r>
        <w:rPr>
          <w:rFonts w:ascii="Times New Roman" w:hAnsi="Times New Roman"/>
          <w:b/>
          <w:i w:val="0"/>
          <w:color w:val="000000"/>
          <w:sz w:val="24"/>
        </w:rPr>
        <w:t>2500030017  –  Suhaanthi Reddy</w:t>
      </w:r>
    </w:p>
    <w:p w14:paraId="45DAFDB8" w14:textId="131BCDB2" w:rsidR="00AD0A38" w:rsidRPr="008B5E6E" w:rsidRDefault="00AD0A38" w:rsidP="00C2231F">
      <w:pPr>
        <w:pStyle w:val="Default"/>
        <w:spacing w:after="40" w:line="276" w:lineRule="auto" w:before="20"/>
        <w:jc w:val="center"/>
        <w:rPr>
          <w:b/>
          <w:bCs/>
          <w:sz w:val="28"/>
          <w:szCs w:val="28"/>
        </w:rPr>
      </w:pPr>
      <w:r/>
      <w:r>
        <w:rPr>
          <w:rFonts w:ascii="Times New Roman" w:hAnsi="Times New Roman"/>
          <w:b/>
          <w:i w:val="0"/>
          <w:color w:val="000000"/>
          <w:sz w:val="24"/>
        </w:rPr>
        <w:t>2510030025  –  Shloka Reddy</w:t>
      </w:r>
    </w:p>
    <w:p w14:paraId="6A848B25" w14:textId="0161A43D" w:rsidR="00365AA2" w:rsidRPr="008B5E6E" w:rsidRDefault="00365AA2" w:rsidP="00C2231F">
      <w:pPr>
        <w:pStyle w:val="Default"/>
        <w:spacing w:after="40" w:line="276" w:lineRule="auto" w:before="20"/>
        <w:jc w:val="center"/>
        <w:rPr>
          <w:b/>
          <w:bCs/>
          <w:sz w:val="28"/>
          <w:szCs w:val="28"/>
        </w:rPr>
      </w:pPr>
      <w:r/>
      <w:r>
        <w:rPr>
          <w:rFonts w:ascii="Times New Roman" w:hAnsi="Times New Roman"/>
          <w:b/>
          <w:i w:val="0"/>
          <w:color w:val="000000"/>
          <w:sz w:val="24"/>
        </w:rPr>
        <w:t>2510030128  –  Hansikha Reddy</w:t>
      </w:r>
    </w:p>
    <w:p w14:paraId="064DA148" w14:textId="77777777" w:rsidR="00C2231F" w:rsidRDefault="00C2231F" w:rsidP="00C2231F">
      <w:pPr>
        <w:pStyle w:val="Default"/>
        <w:spacing w:after="40" w:line="276" w:lineRule="auto" w:before="20"/>
        <w:jc w:val="center"/>
        <w:rPr>
          <w:sz w:val="23"/>
          <w:szCs w:val="23"/>
        </w:rPr>
      </w:pPr>
      <w:r/>
      <w:r>
        <w:rPr>
          <w:rFonts w:ascii="Times New Roman" w:hAnsi="Times New Roman"/>
          <w:b/>
          <w:i w:val="0"/>
          <w:color w:val="000000"/>
          <w:sz w:val="24"/>
        </w:rPr>
        <w:t>2510030107  –  Spoorthy Reddy</w:t>
      </w:r>
    </w:p>
    <w:p>
      <w:pPr>
        <w:spacing w:before="20" w:after="80" w:line="276" w:lineRule="auto"/>
        <w:jc w:val="center"/>
      </w:pPr>
      <w:r/>
      <w:r>
        <w:rPr>
          <w:rFonts w:ascii="Times New Roman" w:hAnsi="Times New Roman"/>
          <w:b/>
          <w:i w:val="0"/>
          <w:color w:val="000000"/>
          <w:sz w:val="24"/>
        </w:rPr>
        <w:t>2510030312  –  Dhana Lakshmi</w:t>
      </w:r>
    </w:p>
    <w:p w14:paraId="6B30FC47" w14:textId="77777777" w:rsidR="00C2231F" w:rsidRPr="004273FB" w:rsidRDefault="00C2231F" w:rsidP="00C2231F">
      <w:pPr>
        <w:pStyle w:val="Default"/>
        <w:spacing w:after="40" w:line="276" w:lineRule="auto" w:before="80"/>
        <w:jc w:val="center"/>
        <w:rPr>
          <w:sz w:val="23"/>
          <w:szCs w:val="23"/>
        </w:rPr>
      </w:pPr>
      <w:r/>
      <w:r>
        <w:rPr>
          <w:rFonts w:ascii="Times New Roman" w:hAnsi="Times New Roman"/>
          <w:b w:val="0"/>
          <w:i w:val="0"/>
          <w:color w:val="000000"/>
          <w:sz w:val="23"/>
        </w:rPr>
        <w:t>Under the guidance of</w:t>
      </w:r>
    </w:p>
    <w:p w14:paraId="4B3E09AA" w14:textId="75E10A7E" w:rsidR="00C2231F" w:rsidRPr="00142813" w:rsidRDefault="00AD0A38" w:rsidP="00C2231F">
      <w:pPr>
        <w:pStyle w:val="Default"/>
        <w:spacing w:after="80" w:line="276" w:lineRule="auto" w:before="20"/>
        <w:jc w:val="center"/>
        <w:rPr>
          <w:b/>
          <w:bCs/>
        </w:rPr>
      </w:pPr>
      <w:r/>
      <w:r>
        <w:rPr>
          <w:rFonts w:ascii="Times New Roman" w:hAnsi="Times New Roman"/>
          <w:b/>
          <w:i w:val="0"/>
          <w:color w:val="000000"/>
          <w:sz w:val="25"/>
        </w:rPr>
        <w:t>XXXX (Faculty Name)</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120" w:line="276" w:lineRule="auto" w:before="0"/>
        <w:jc w:val="center"/>
        <w:rPr>
          <w:sz w:val="23"/>
          <w:szCs w:val="23"/>
        </w:rPr>
      </w:pPr>
      <w:r/>
      <w:r>
        <w:rPr>
          <w:rFonts w:ascii="Times New Roman" w:hAnsi="Times New Roman"/>
          <w:b w:val="0"/>
          <w:i w:val="0"/>
          <w:color w:val="000000"/>
          <w:sz w:val="22"/>
        </w:rPr>
        <w:t>Department of Computer Science and Engineering</w:t>
      </w:r>
    </w:p>
    <w:p w14:paraId="46A8B4EC" w14:textId="061FA85C" w:rsidR="00C2231F" w:rsidRPr="004273FB" w:rsidRDefault="003D51F0" w:rsidP="00C2231F">
      <w:pPr>
        <w:pStyle w:val="Default"/>
        <w:spacing w:after="120" w:line="276" w:lineRule="auto" w:before="0"/>
        <w:jc w:val="center"/>
        <w:rPr>
          <w:sz w:val="23"/>
          <w:szCs w:val="23"/>
        </w:rPr>
      </w:pPr>
      <w:r/>
      <w:r>
        <w:rPr>
          <w:rFonts w:ascii="Times New Roman" w:hAnsi="Times New Roman"/>
          <w:b w:val="0"/>
          <w:i w:val="0"/>
          <w:color w:val="000000"/>
          <w:sz w:val="22"/>
        </w:rPr>
        <w:t>Koneru Lakshmaiah Education Foundation, Aziz Nagar</w:t>
      </w:r>
    </w:p>
    <w:p w14:paraId="5131A577" w14:textId="2EC61D1C" w:rsidR="00C2231F" w:rsidRPr="004273FB" w:rsidRDefault="003D51F0" w:rsidP="00C2231F">
      <w:pPr>
        <w:pStyle w:val="Default"/>
        <w:spacing w:after="120" w:line="276" w:lineRule="auto" w:before="0"/>
        <w:jc w:val="center"/>
        <w:rPr>
          <w:sz w:val="23"/>
          <w:szCs w:val="23"/>
        </w:rPr>
      </w:pPr>
      <w:r/>
      <w:r>
        <w:rPr>
          <w:rFonts w:ascii="Times New Roman" w:hAnsi="Times New Roman"/>
          <w:b w:val="0"/>
          <w:i w:val="0"/>
          <w:color w:val="000000"/>
          <w:sz w:val="22"/>
        </w:rPr>
        <w:t>Aziz Nagar – 500075</w:t>
      </w:r>
    </w:p>
    <w:p w14:paraId="12F3081D" w14:textId="6A50CD01" w:rsidR="008D3342" w:rsidRDefault="00D05559" w:rsidP="00C2231F">
      <w:pPr>
        <w:spacing w:line="360" w:lineRule="auto" w:after="0"/>
        <w:jc w:val="center"/>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
        <w:rPr>
          <w:rFonts w:ascii="Times New Roman" w:hAnsi="Times New Roman"/>
          <w:b w:val="0"/>
          <w:i w:val="0"/>
          <w:color w:val="000000"/>
          <w:sz w:val="22"/>
        </w:rPr>
        <w:t>OCT - 2026.</w:t>
      </w:r>
    </w:p>
    <w:p w14:paraId="6ED9F73B" w14:textId="77777777" w:rsidR="008D3342" w:rsidRDefault="008D3342" w:rsidP="008D3342">
      <w:pPr>
        <w:spacing w:line="276" w:lineRule="auto" w:after="240"/>
        <w:jc w:val="both"/>
        <w:rPr>
          <w:b/>
          <w:bCs/>
          <w:kern w:val="48"/>
          <w:sz w:val="30"/>
          <w:szCs w:val="30"/>
        </w:rPr>
        <w:sectPr w:rsidR="008D3342" w:rsidSect="008D3342">
          <w:pgSz w:w="11906" w:h="16838" w:code="9"/>
          <w:pgMar w:top="450" w:right="893" w:bottom="1440" w:left="893" w:header="720" w:footer="720" w:gutter="0"/>
          <w:cols w:space="720"/>
          <w:docGrid w:linePitch="360"/>
        </w:sectPr>
      </w:pPr>
      <w:r/>
      <w:r>
        <w:rPr>
          <w:rFonts w:ascii="Times New Roman" w:hAnsi="Times New Roman"/>
          <w:b/>
          <w:i w:val="0"/>
          <w:color w:val="000000"/>
          <w:sz w:val="30"/>
        </w:rPr>
        <w:t>ABSTRACT</w:t>
        <w:br/>
        <w:br/>
      </w:r>
      <w:r>
        <w:rPr>
          <w:rFonts w:ascii="Times New Roman" w:hAnsi="Times New Roman"/>
          <w:b w:val="0"/>
          <w:i w:val="0"/>
          <w:color w:val="000000"/>
          <w:sz w:val="22"/>
        </w:rPr>
        <w:t>In modern technical talent acquisition, human resources departments face unprecedented operational challenges due to the overwhelming influx of submitted candidate resumes. Manual evaluation is severely constrained by cognitive fatigue, subjective evaluation metrics, and significant time overheads, compelling recruiters to dedicate merely seconds to each applicant. Conversely, contemporary commercial solutions deploying opaque deep neural networks and Generative Artificial Intelligence (GenAI) frequently suffer from hallucinations, non-reproducible scoring criteria, and algorithmic bias. To address these critical industry bottlenecks, this Project-Based Learning (PBL) project presents ResumeX, an intelligent, deterministic, and transparent resume screening and candidate ranking system founded strictly on classical Data Structures and Algorithms (DSA), prepared and submitted for Review 3 evaluation by team members Suhaanthi Reddy (2500030017), Shloka Reddy (2510030025), Hansikha Reddy (2510030128), Spoorthy Reddy (2510030107), and Dhana Lakshmi (2510030312).</w:t>
        <w:br/>
        <w:br/>
        <w:t>ResumeX features a high-performance Java SE backend integrated with an Eclipse workspace that executes six foundational algorithmic paradigms: Knuth-Morris-Pratt (KMP) string matching for exact skill and technology extraction, Levenshtein Distance dynamic programming for typo and abbreviation tolerance, Needleman-Wunsch global sequence alignment for career qualification progression evaluation, Suffix Arrays combined with Kasai's linear Longest Common Prefix (LCP) algorithm for deep domain phrase collocations, SHA-256 cryptographic hashing for exact and near-duplicate resume detection, and Greedy Approximation for multi-criteria candidate optimization. Native PDF resume ingestion is performed directly in runtime memory utilizing Apache PDFBox 3.0.8, completely decoupled from a modern React 19 single-page application built in VS Code. Experimental validation conducted on benchmark technical candidate datasets proves that ResumeX achieves sub-millisecond screening latency, 100% duplicate detection precision, and an explainable, weighted composite qualification ranking that eliminates black-box opacity. ResumeX successfully demonstrates the vital role of foundational computer science algorithms in enterprise human capital engineering.</w:t>
      </w:r>
    </w:p>
    <w:p w14:paraId="422E35CA" w14:textId="77777777" w:rsidR="008D3342" w:rsidRDefault="008D3342" w:rsidP="008D3342">
      <w:pPr>
        <w:spacing w:line="312" w:lineRule="auto"/>
        <w:jc w:val="left"/>
        <w:rPr>
          <w:b/>
          <w:bCs/>
          <w:kern w:val="48"/>
          <w:sz w:val="26"/>
          <w:szCs w:val="26"/>
        </w:rPr>
        <w:sectPr w:rsidR="008D3342" w:rsidSect="008D3342">
          <w:pgSz w:w="11906" w:h="16838" w:code="9"/>
          <w:pgMar w:top="450" w:right="893" w:bottom="1440" w:left="893" w:header="720" w:footer="720" w:gutter="0"/>
          <w:cols w:space="720"/>
          <w:docGrid w:linePitch="360"/>
        </w:sectPr>
      </w:pPr>
      <w:r/>
      <w:r>
        <w:rPr>
          <w:rFonts w:ascii="Times New Roman" w:hAnsi="Times New Roman"/>
          <w:b/>
          <w:i w:val="0"/>
          <w:color w:val="000000"/>
          <w:sz w:val="26"/>
        </w:rPr>
        <w:t>LIST OF FIGURES</w:t>
        <w:br/>
        <w:br/>
      </w:r>
      <w:r>
        <w:rPr>
          <w:rFonts w:ascii="Times New Roman" w:hAnsi="Times New Roman"/>
          <w:b w:val="0"/>
          <w:i w:val="0"/>
          <w:color w:val="000000"/>
          <w:sz w:val="22"/>
        </w:rPr>
        <w:t>Figure 1: Decoupled Full-Stack Architecture of the ResumeX Screening System ...................... 8</w:t>
        <w:br/>
        <w:t>Figure 2: Empirical Evaluation of Benchmark Candidates Across Core DSA Scoring Metrics ........ 12</w:t>
        <w:br/>
      </w: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01D25523" w14:textId="77777777" w:rsidR="008D3342" w:rsidRDefault="008D3342" w:rsidP="008D3342">
      <w:pPr>
        <w:spacing w:line="312" w:lineRule="auto"/>
        <w:jc w:val="left"/>
        <w:rPr>
          <w:b/>
          <w:bCs/>
          <w:kern w:val="48"/>
          <w:sz w:val="26"/>
          <w:szCs w:val="26"/>
        </w:rPr>
        <w:sectPr w:rsidR="008D3342" w:rsidSect="008044EF">
          <w:type w:val="continuous"/>
          <w:pgSz w:w="11906" w:h="16838" w:code="9"/>
          <w:pgMar w:top="1080" w:right="907" w:bottom="1440" w:left="907" w:header="720" w:footer="720" w:gutter="0"/>
          <w:cols w:space="360"/>
          <w:docGrid w:linePitch="360"/>
        </w:sectPr>
      </w:pPr>
      <w:r/>
      <w:r>
        <w:rPr>
          <w:rFonts w:ascii="Times New Roman" w:hAnsi="Times New Roman"/>
          <w:b/>
          <w:i w:val="0"/>
          <w:color w:val="000000"/>
          <w:sz w:val="26"/>
        </w:rPr>
        <w:t>LIST OF TABLES</w:t>
        <w:br/>
        <w:br/>
      </w:r>
      <w:r>
        <w:rPr>
          <w:rFonts w:ascii="Times New Roman" w:hAnsi="Times New Roman"/>
          <w:b w:val="0"/>
          <w:i w:val="0"/>
          <w:color w:val="000000"/>
          <w:sz w:val="22"/>
        </w:rPr>
        <w:t>Table 1: Summary of Core DSA Algorithms, Complexity, and Primary Function ......................... 9</w:t>
        <w:br/>
        <w:t>Table 2: Mathematical Weight Allocation for Composite Candidate Match Scoring ................... 10</w:t>
        <w:br/>
        <w:t>Table 3: Experimental Screening &amp; Evaluation Results on Benchmark Resumes ......................... 13</w:t>
        <w:br/>
        <w:t>Table 4: Runtime Benchmark &amp; Algorithmic Complexity Across Document Sizes ......................... 13</w:t>
        <w:br/>
      </w:r>
    </w:p>
    <w:p w14:paraId="3A9BB86D" w14:textId="77777777" w:rsidR="008D3342" w:rsidRDefault="008D3342" w:rsidP="008D3342">
      <w:pPr>
        <w:spacing w:line="300" w:lineRule="auto"/>
        <w:jc w:val="left"/>
        <w:rPr>
          <w:b/>
          <w:bCs/>
          <w:kern w:val="48"/>
          <w:sz w:val="26"/>
          <w:szCs w:val="26"/>
        </w:rPr>
        <w:sectPr w:rsidR="008D3342" w:rsidSect="008D3342">
          <w:pgSz w:w="11906" w:h="16838" w:code="9"/>
          <w:pgMar w:top="1080" w:right="907" w:bottom="1440" w:left="907" w:header="720" w:footer="720" w:gutter="0"/>
          <w:cols w:space="360"/>
          <w:docGrid w:linePitch="360"/>
        </w:sectPr>
      </w:pPr>
      <w:r/>
      <w:r>
        <w:rPr>
          <w:rFonts w:ascii="Times New Roman" w:hAnsi="Times New Roman"/>
          <w:b/>
          <w:i w:val="0"/>
          <w:color w:val="000000"/>
          <w:sz w:val="26"/>
        </w:rPr>
        <w:t>TABLE OF CONTENTS</w:t>
        <w:br/>
        <w:br/>
      </w:r>
      <w:r>
        <w:rPr>
          <w:rFonts w:ascii="Times New Roman" w:hAnsi="Times New Roman"/>
          <w:b w:val="0"/>
          <w:i w:val="0"/>
          <w:color w:val="000000"/>
          <w:sz w:val="22"/>
        </w:rPr>
        <w:t>1. INTRODUCTION ......................................................................................................................... 6</w:t>
        <w:br/>
        <w:t xml:space="preserve">    1.1 Background and Industry Context ........................................................................................... 6</w:t>
        <w:br/>
        <w:t xml:space="preserve">    1.2 Pitfalls of Contemporary Screening Systems ........................................................................... 6</w:t>
        <w:br/>
        <w:t xml:space="preserve">    1.3 Project Motivation and Objectives ........................................................................................... 7</w:t>
        <w:br/>
        <w:t xml:space="preserve">    1.4 Scope and Review 3 Realization .............................................................................................. 7</w:t>
        <w:br/>
        <w:br/>
        <w:t>2. METHODOLOGY &amp; ALGORITHMIC DESIGN .............................................................................. 8</w:t>
        <w:br/>
        <w:t xml:space="preserve">    2.1 Decoupled Full-Stack System Architecture .............................................................................. 8</w:t>
        <w:br/>
        <w:t xml:space="preserve">    2.2 Novelty of Developed Methodology: Multi-Technique DSA Fusion ........................................... 8</w:t>
        <w:br/>
        <w:t xml:space="preserve">    2.3 Native In-Memory PDF Text Extraction via Apache PDFBox ................................................... 9</w:t>
        <w:br/>
        <w:t xml:space="preserve">    2.4 Knuth-Morris-Pratt (KMP) Linear String Matching .................................................................... 9</w:t>
        <w:br/>
        <w:t xml:space="preserve">    2.5 Levenshtein Edit Distance (Dynamic Programming) ................................................................ 9</w:t>
        <w:br/>
        <w:t xml:space="preserve">    2.6 Needleman-Wunsch Global Sequence Alignment ..................................................................... 9</w:t>
        <w:br/>
        <w:t xml:space="preserve">    2.7 Suffix Arrays &amp; Kasai's Longest Common Prefix (LCP) ............................................................. 10</w:t>
        <w:br/>
        <w:t xml:space="preserve">    2.8 Cryptographic SHA-256 Hashing &amp; Duplicate Detection ........................................................... 10</w:t>
        <w:br/>
        <w:t xml:space="preserve">    2.9 Greedy Approximation for Multi-Objective Ranking ................................................................. 10</w:t>
        <w:br/>
        <w:t xml:space="preserve">    2.10 Adaptability of Methodology Across Domains and Systems ................................................... 10</w:t>
        <w:br/>
        <w:br/>
        <w:t>3. EXPERIMENTS &amp; BENCHMARK SETUP ......................................................................................... 11</w:t>
        <w:br/>
        <w:t xml:space="preserve">    3.1 Benchmark Dataset &amp; Candidate Corpus ................................................................................. 11</w:t>
        <w:br/>
        <w:t xml:space="preserve">    3.2 Target Job Requisition Specification ......................................................................................... 11</w:t>
        <w:br/>
        <w:t xml:space="preserve">    3.3 Execution Environment &amp; Hardware Setup .............................................................................. 11</w:t>
        <w:br/>
        <w:br/>
        <w:t>4. RESULTS &amp; METHODOLOGY EVALUATION ............................................................................. 12</w:t>
        <w:br/>
        <w:t xml:space="preserve">    4.1 Methodology Evaluation: Screening Accuracy and Ranking ................................................... 12</w:t>
        <w:br/>
        <w:t xml:space="preserve">    4.2 Algorithmic Time and Space Complexity Analysis ................................................................... 13</w:t>
        <w:br/>
        <w:t xml:space="preserve">    4.3 Scalability &amp; Runtime Latency Benchmark ................................................................................ 13</w:t>
        <w:br/>
        <w:t xml:space="preserve">    4.4 Duplicate Detection and Anti-Fraud Verification ...................................................................... 13</w:t>
        <w:br/>
        <w:br/>
        <w:t>5. CONCLUSION, DISSEMINATION, AND FUTURE WORK ........................................................... 14</w:t>
        <w:br/>
        <w:t xml:space="preserve">    5.1 Concluding Remarks ................................................................................................................. 14</w:t>
        <w:br/>
        <w:t xml:space="preserve">    5.2 Dissemination and Accessibility: Live Deployment &amp; Open Source .......................................... 14</w:t>
        <w:br/>
        <w:t xml:space="preserve">    5.3 Future Algorithmic Enhancements ............................................................................................. 14</w:t>
        <w:br/>
        <w:br/>
        <w:t>REFERENCES ...................................................................................................................................... 15</w:t>
        <w:br/>
      </w:r>
    </w:p>
    <w:p>
      <w:pPr>
        <w:spacing w:before="240" w:after="120" w:line="276" w:lineRule="auto"/>
        <w:jc w:val="center"/>
      </w:pPr>
      <w:r/>
      <w:r>
        <w:rPr>
          <w:rFonts w:ascii="Times New Roman" w:hAnsi="Times New Roman"/>
          <w:b/>
          <w:i w:val="0"/>
          <w:color w:val="0F172A"/>
          <w:sz w:val="48"/>
        </w:rPr>
        <w:t>ResumeX: AI-Powered Resume Screening &amp; Intelligent Candidate Ranking System</w:t>
      </w:r>
    </w:p>
    <w:p>
      <w:pPr>
        <w:spacing w:before="0" w:after="360" w:line="276" w:lineRule="auto"/>
        <w:jc w:val="center"/>
      </w:pPr>
      <w:r/>
      <w:r>
        <w:rPr>
          <w:rFonts w:ascii="Times New Roman" w:hAnsi="Times New Roman"/>
          <w:b w:val="0"/>
          <w:i/>
          <w:color w:val="64748B"/>
          <w:sz w:val="20"/>
        </w:rPr>
        <w:t>Note: Maintain Document format as it is in terms of font size and font theme.</w:t>
      </w:r>
    </w:p>
    <w:p>
      <w:pPr>
        <w:spacing w:before="280" w:after="120" w:line="276" w:lineRule="auto"/>
        <w:jc w:val="left"/>
      </w:pPr>
      <w:r/>
      <w:r>
        <w:rPr>
          <w:rFonts w:ascii="Times New Roman" w:hAnsi="Times New Roman"/>
          <w:b/>
          <w:i w:val="0"/>
          <w:color w:val="0F172A"/>
          <w:sz w:val="28"/>
        </w:rPr>
        <w:t>1. INTRODUCTION</w:t>
      </w:r>
    </w:p>
    <w:p>
      <w:pPr>
        <w:spacing w:before="0" w:after="120" w:line="276" w:lineRule="auto"/>
        <w:jc w:val="both"/>
      </w:pPr>
      <w:r/>
      <w:r>
        <w:rPr>
          <w:rFonts w:ascii="Times New Roman" w:hAnsi="Times New Roman"/>
          <w:b w:val="0"/>
          <w:i w:val="0"/>
          <w:color w:val="1E293B"/>
          <w:sz w:val="22"/>
        </w:rPr>
        <w:t>In the contemporary global knowledge economy, corporate recruitment infrastructures are experiencing an overwhelming surge in applicant volume. Digital career portals, automated job aggregation platforms, and streamlined one-click application systems routinely generate hundreds to thousands of candidate resumes for every advertised technical position. Consequently, corporate human resource departments and talent acquisition teams encounter severe operational bottlenecks. Manual resume evaluation is notoriously labor-intensive, vulnerable to recruiter cognitive fatigue, and inherently inconsistent. Empirical studies reveal that human recruiters allocate an average of merely six to eight seconds to conduct initial resume appraisals. Under such extreme temporal pressures, qualified candidates possessing unconventional formatting or non-standard phraseologies are frequently overlooked, while incongruous applicants who optimize superficial document aesthetics slip through initial screening filters.</w:t>
      </w:r>
    </w:p>
    <w:p>
      <w:pPr>
        <w:spacing w:before="0" w:after="120" w:line="276" w:lineRule="auto"/>
        <w:jc w:val="both"/>
      </w:pPr>
      <w:r/>
      <w:r>
        <w:rPr>
          <w:rFonts w:ascii="Times New Roman" w:hAnsi="Times New Roman"/>
          <w:b w:val="0"/>
          <w:i w:val="0"/>
          <w:color w:val="1E293B"/>
          <w:sz w:val="22"/>
        </w:rPr>
        <w:t>To mitigate this operational strain, enterprise organizations have increasingly deployed commercial Applicant Tracking Systems (ATS). However, first-generation ATS platforms depend heavily on brittle keyword matching techniques. These systems count raw string occurrences, leaving them easily vulnerable to 'keyword stuffing' exploits where candidates embed invisible or repetitive terminology to manipulate relevance scores. Conversely, modern generative artificial intelligence (GenAI) and large language model (LLM) screening frameworks introduce different yet equally severe impediments. Deep neural architectures operate as inscrutable 'black boxes' that lack deterministic explainability. They are prone to stochastic hallucinations, exhibit non-reproducible scoring across identical documents, and inadvertently reproduce demographic biases embedded in training corpora. Furthermore, streaming sensitive applicant personally identifiable information (PII) to external cloud-hosted LLM inference APIs introduces grave data privacy and compliance liabilities under GDPR and enterprise security mandates.</w:t>
      </w:r>
    </w:p>
    <w:p>
      <w:pPr>
        <w:spacing w:before="0" w:after="120" w:line="276" w:lineRule="auto"/>
        <w:jc w:val="both"/>
      </w:pPr>
      <w:r/>
      <w:r>
        <w:rPr>
          <w:rFonts w:ascii="Times New Roman" w:hAnsi="Times New Roman"/>
          <w:b w:val="0"/>
          <w:i w:val="0"/>
          <w:color w:val="1E293B"/>
          <w:sz w:val="22"/>
        </w:rPr>
        <w:t>To surmount the twin pitfalls of brittle heuristic filters and unaccountable neural black boxes, this Project-Based Learning (PBL) project introduces ResumeX: an intelligent, transparent, and deterministic resume screening and candidate ranking system engineered entirely on classical Data Structures and Algorithms (DSA). Rather than relying on non-verifiable statistical approximations, ResumeX models the candidate evaluation challenge through formal computer science principles: pattern matching, dynamic programming, sequence alignment, string indexing, cryptographic hashing, and greedy optimization. Each algorithmic component executes a clearly defined analytical responsibility, producing an auditable, multi-dimensional score profile that guarantees complete fairness, reproducibility, and computational efficiency.</w:t>
      </w:r>
    </w:p>
    <w:p>
      <w:pPr>
        <w:spacing w:before="0" w:after="120" w:line="276" w:lineRule="auto"/>
        <w:jc w:val="both"/>
      </w:pPr>
      <w:r/>
      <w:r>
        <w:rPr>
          <w:rFonts w:ascii="Times New Roman" w:hAnsi="Times New Roman"/>
          <w:b w:val="0"/>
          <w:i w:val="0"/>
          <w:color w:val="1E293B"/>
          <w:sz w:val="22"/>
        </w:rPr>
        <w:t>The technical core of ResumeX comprises six foundational algorithmic implementations designed and benchmarked in Java: (1) The Knuth-Morris-Pratt (KMP) algorithm enables linear-time exact keyword search with zero backtracking; (2) Levenshtein Edit Distance dynamic programming accounts for typographical errors, acronym variations, and naming discrepancies; (3) Needleman-Wunsch Global Sequence Alignment evaluates structural career progression and requirement ordering; (4) Suffix Arrays coupled with Kasai's Longest Common Prefix (LCP) algorithm extract deep domain collocations and complex multi-word project phrases; (5) SHA-256 cryptographic hashing guarantees instant O(1) detection of duplicate resume submissions and anti-fraud filtering; and (6) A Greedy Set-Cover approximation engine computes optimal candidate qualification density under variable requirement constraints.</w:t>
      </w:r>
    </w:p>
    <w:p>
      <w:pPr>
        <w:spacing w:before="0" w:after="120" w:line="276" w:lineRule="auto"/>
        <w:jc w:val="both"/>
      </w:pPr>
      <w:r/>
      <w:r>
        <w:rPr>
          <w:rFonts w:ascii="Times New Roman" w:hAnsi="Times New Roman"/>
          <w:b w:val="0"/>
          <w:i w:val="0"/>
          <w:color w:val="1E293B"/>
          <w:sz w:val="22"/>
        </w:rPr>
        <w:t>ResumeX is realized through a strictly decoupled enterprise software architecture. The backend is developed as a native Java SE application within the Eclipse IDE, embedding an asynchronous HTTP server and Apache PDFBox 3.0.8 for safe in-memory document parsing without disk persistence. The recruiter presentation layer is engineered as a modern Single-Page Application (SPA) using React 19, Vite, Tailwind CSS, and Lucide icons in VS Code. This report is organized to thoroughly address the Project-Based Learning Review 3 evaluation rubrics: Section 2 presents the Methodology, Novelty, and Adaptability; Section 3 delineates the Experimental Benchmark Setup; Section 4 provides the Empirical Results and Methodology Evaluation; and Section 5 details the Conclusion, Dissemination, and Accessibility through public deployment.</w:t>
      </w:r>
    </w:p>
    <w:p>
      <w:pPr>
        <w:spacing w:before="280" w:after="120" w:line="276" w:lineRule="auto"/>
        <w:jc w:val="left"/>
      </w:pPr>
      <w:r/>
      <w:r>
        <w:rPr>
          <w:rFonts w:ascii="Times New Roman" w:hAnsi="Times New Roman"/>
          <w:b/>
          <w:i w:val="0"/>
          <w:color w:val="0F172A"/>
          <w:sz w:val="28"/>
        </w:rPr>
        <w:t>2. METHODOLOGY &amp; ALGORITHMIC DESIGN</w:t>
      </w:r>
    </w:p>
    <w:p>
      <w:pPr>
        <w:spacing w:before="200" w:after="80" w:line="276" w:lineRule="auto"/>
        <w:jc w:val="left"/>
      </w:pPr>
      <w:r/>
      <w:r>
        <w:rPr>
          <w:rFonts w:ascii="Times New Roman" w:hAnsi="Times New Roman"/>
          <w:b/>
          <w:i w:val="0"/>
          <w:color w:val="1E293B"/>
          <w:sz w:val="24"/>
        </w:rPr>
        <w:t>2.1 Decoupled Full-Stack Architecture</w:t>
      </w:r>
    </w:p>
    <w:p>
      <w:pPr>
        <w:spacing w:before="0" w:after="120" w:line="276" w:lineRule="auto"/>
        <w:jc w:val="both"/>
      </w:pPr>
      <w:r/>
      <w:r>
        <w:rPr>
          <w:rFonts w:ascii="Times New Roman" w:hAnsi="Times New Roman"/>
          <w:b w:val="0"/>
          <w:i w:val="0"/>
          <w:color w:val="1E293B"/>
          <w:sz w:val="22"/>
        </w:rPr>
        <w:t>ResumeX is architected as an enterprise decoupled full-stack platform consisting of a high-performance Java SE 17+ backend engineered in Eclipse and a modern single-page application (SPA) developed in VS Code utilizing React 19, Vite, and Lucide icons. Communication between client and server layers occurs via lightweight RESTful HTTP endpoints managed by an embedded com.sun.net.httpserver.HttpServer instance operating on port 8080. This architectural separation guarantees that all computationally intensive string processing, dynamic programming matrices, and suffix array operations remain strictly confined to the native Java execution environment, while the React presentation layer provides recruiters with an intuitive, responsive interface.</w:t>
      </w:r>
    </w:p>
    <w:p>
      <w:pPr>
        <w:spacing w:before="160" w:after="80"/>
        <w:jc w:val="center"/>
      </w:pPr>
      <w:r>
        <w:drawing>
          <wp:inline xmlns:a="http://schemas.openxmlformats.org/drawingml/2006/main" xmlns:pic="http://schemas.openxmlformats.org/drawingml/2006/picture">
            <wp:extent cx="5669280" cy="2834640"/>
            <wp:docPr id="1027" name="Picture 1027"/>
            <wp:cNvGraphicFramePr>
              <a:graphicFrameLocks noChangeAspect="1"/>
            </wp:cNvGraphicFramePr>
            <a:graphic>
              <a:graphicData uri="http://schemas.openxmlformats.org/drawingml/2006/picture">
                <pic:pic>
                  <pic:nvPicPr>
                    <pic:cNvPr id="0" name="resumex_architecture.png"/>
                    <pic:cNvPicPr/>
                  </pic:nvPicPr>
                  <pic:blipFill>
                    <a:blip r:embed="rId16"/>
                    <a:stretch>
                      <a:fillRect/>
                    </a:stretch>
                  </pic:blipFill>
                  <pic:spPr>
                    <a:xfrm>
                      <a:off x="0" y="0"/>
                      <a:ext cx="5669280" cy="2834640"/>
                    </a:xfrm>
                    <a:prstGeom prst="rect"/>
                  </pic:spPr>
                </pic:pic>
              </a:graphicData>
            </a:graphic>
          </wp:inline>
        </w:drawing>
      </w:r>
    </w:p>
    <w:p>
      <w:pPr>
        <w:spacing w:before="40" w:after="240" w:line="276" w:lineRule="auto"/>
        <w:jc w:val="center"/>
      </w:pPr>
      <w:r/>
      <w:r>
        <w:rPr>
          <w:rFonts w:ascii="Times New Roman" w:hAnsi="Times New Roman"/>
          <w:b/>
          <w:i w:val="0"/>
          <w:color w:val="334155"/>
          <w:sz w:val="20"/>
        </w:rPr>
        <w:t>FIGURE 1: Decoupled Full-Stack Architecture of the ResumeX Screening System.</w:t>
      </w:r>
    </w:p>
    <w:p>
      <w:pPr>
        <w:spacing w:before="200" w:after="80" w:line="276" w:lineRule="auto"/>
        <w:jc w:val="left"/>
      </w:pPr>
      <w:r/>
      <w:r>
        <w:rPr>
          <w:rFonts w:ascii="Times New Roman" w:hAnsi="Times New Roman"/>
          <w:b/>
          <w:i w:val="0"/>
          <w:color w:val="1E293B"/>
          <w:sz w:val="24"/>
        </w:rPr>
        <w:t>2.2 Novelty of Developed Methodology: Multi-Technique DSA Fusion</w:t>
      </w:r>
    </w:p>
    <w:p>
      <w:pPr>
        <w:spacing w:before="0" w:after="120" w:line="276" w:lineRule="auto"/>
        <w:jc w:val="both"/>
      </w:pPr>
      <w:r/>
      <w:r>
        <w:rPr>
          <w:rFonts w:ascii="Times New Roman" w:hAnsi="Times New Roman"/>
          <w:b w:val="0"/>
          <w:i w:val="0"/>
          <w:color w:val="1E293B"/>
          <w:sz w:val="22"/>
        </w:rPr>
        <w:t>The primary technical novelty of ResumeX lies in its Multi-Technique Algorithmic Fusion. Conventional screening mechanisms rely on either single-technique keyword counters (which are fragile and easily gamed) or opaque deep neural networks (which hallucinate and violate auditability). In contrast, ResumeX synthesizes six complementary classical computer science algorithms into a coherent evaluation pipeline. Exact token matching is strictly decoupled from fuzzy semantic alignment, while career sequence progression and collocated project phrases are mathematically scored through dedicated dynamic programming and suffix indexing structures. This guarantees 100% deterministic reproducibility: identical resumes evaluated against identical job descriptions always yield identical, explainable qualification breakdowns.</w:t>
      </w:r>
    </w:p>
    <w:p>
      <w:pPr>
        <w:spacing w:before="200" w:after="80" w:line="276" w:lineRule="auto"/>
        <w:jc w:val="left"/>
      </w:pPr>
      <w:r/>
      <w:r>
        <w:rPr>
          <w:rFonts w:ascii="Times New Roman" w:hAnsi="Times New Roman"/>
          <w:b/>
          <w:i w:val="0"/>
          <w:color w:val="1E293B"/>
          <w:sz w:val="24"/>
        </w:rPr>
        <w:t>2.3 Native PDF Text Extraction via Apache PDFBox</w:t>
      </w:r>
    </w:p>
    <w:p>
      <w:pPr>
        <w:spacing w:before="0" w:after="120" w:line="276" w:lineRule="auto"/>
        <w:jc w:val="both"/>
      </w:pPr>
      <w:r/>
      <w:r>
        <w:rPr>
          <w:rFonts w:ascii="Times New Roman" w:hAnsi="Times New Roman"/>
          <w:b w:val="0"/>
          <w:i w:val="0"/>
          <w:color w:val="1E293B"/>
          <w:sz w:val="22"/>
        </w:rPr>
        <w:t>To support arbitrary candidate resume submissions without persisting sensitive applicant data insecurely to disk, ResumeX utilizes Apache PDFBox 3.0.8 (com.resumex.services.PdfResumeParser). When multiple PDF files are submitted via multipart/form-data, the backend streams file byte arrays directly through Loader.loadPDF(byte[]), extracting structured text bodies in memory via PDFTextStripper. Contact metadata (candidate name, email address, telephone) and technical tokens are isolated via compiled regex patterns.</w:t>
      </w:r>
    </w:p>
    <w:p>
      <w:pPr>
        <w:spacing w:before="200" w:after="80" w:line="276" w:lineRule="auto"/>
        <w:jc w:val="left"/>
      </w:pPr>
      <w:r/>
      <w:r>
        <w:rPr>
          <w:rFonts w:ascii="Times New Roman" w:hAnsi="Times New Roman"/>
          <w:b/>
          <w:i w:val="0"/>
          <w:color w:val="1E293B"/>
          <w:sz w:val="24"/>
        </w:rPr>
        <w:t>2.4 Knuth-Morris-Pratt (KMP) String Matching</w:t>
      </w:r>
    </w:p>
    <w:p>
      <w:pPr>
        <w:spacing w:before="0" w:after="120" w:line="276" w:lineRule="auto"/>
        <w:jc w:val="both"/>
      </w:pPr>
      <w:r/>
      <w:r>
        <w:rPr>
          <w:rFonts w:ascii="Times New Roman" w:hAnsi="Times New Roman"/>
          <w:b w:val="0"/>
          <w:i w:val="0"/>
          <w:color w:val="1E293B"/>
          <w:sz w:val="22"/>
        </w:rPr>
        <w:t>Implemented in com.resumex.algorithms.KMPMatcher. Traditional naive string matching incurs O(N * M) worst-case time complexity, which severely degrades throughput when comparing extensive resumes against lengthy job descriptions. The KMP algorithm eliminates redundant text backtracking by precomputing a prefix function failure table pi[q] = max{k : k &lt; q and P_k is a suffix of P_q} in O(M) time. During text scanning, mismatched characters trigger pointer shifts based on pi, achieving strictly linear O(N + M) search speed for mandatory technical skills.</w:t>
      </w:r>
    </w:p>
    <w:p>
      <w:pPr>
        <w:spacing w:before="200" w:after="80" w:line="276" w:lineRule="auto"/>
        <w:jc w:val="left"/>
      </w:pPr>
      <w:r/>
      <w:r>
        <w:rPr>
          <w:rFonts w:ascii="Times New Roman" w:hAnsi="Times New Roman"/>
          <w:b/>
          <w:i w:val="0"/>
          <w:color w:val="1E293B"/>
          <w:sz w:val="24"/>
        </w:rPr>
        <w:t>2.5 Levenshtein Edit Distance (Dynamic Programming)</w:t>
      </w:r>
    </w:p>
    <w:p>
      <w:pPr>
        <w:spacing w:before="0" w:after="120" w:line="276" w:lineRule="auto"/>
        <w:jc w:val="both"/>
      </w:pPr>
      <w:r/>
      <w:r>
        <w:rPr>
          <w:rFonts w:ascii="Times New Roman" w:hAnsi="Times New Roman"/>
          <w:b w:val="0"/>
          <w:i w:val="0"/>
          <w:color w:val="1E293B"/>
          <w:sz w:val="22"/>
        </w:rPr>
        <w:t>Implemented in com.resumex.algorithms.EditDistance. Real-world resumes frequently contain technical acronym variations, spelling discrepancies, and minor typos (e.g., 'Jvaa' for 'Java', 'ReactJS' for 'React'). Levenshtein Distance computes the minimum edit operations (insertions, deletions, substitutions) required to transform string A of length M into string B of length N using a 2D dynamic programming recurrence: D(i, j) = min(D(i-1, j) + 1, D(i, j-1) + 1, D(i-1, j-1) + cost). Normalized similarity is calculated as: Sim(A, B) = (1 - D(M,N) / max(M,N)) * 100%.</w:t>
      </w:r>
    </w:p>
    <w:p>
      <w:pPr>
        <w:spacing w:before="200" w:after="80" w:line="276" w:lineRule="auto"/>
        <w:jc w:val="left"/>
      </w:pPr>
      <w:r/>
      <w:r>
        <w:rPr>
          <w:rFonts w:ascii="Times New Roman" w:hAnsi="Times New Roman"/>
          <w:b/>
          <w:i w:val="0"/>
          <w:color w:val="1E293B"/>
          <w:sz w:val="24"/>
        </w:rPr>
        <w:t>2.6 Needleman-Wunsch Global Sequence Alignment</w:t>
      </w:r>
    </w:p>
    <w:p>
      <w:pPr>
        <w:spacing w:before="0" w:after="120" w:line="276" w:lineRule="auto"/>
        <w:jc w:val="both"/>
      </w:pPr>
      <w:r/>
      <w:r>
        <w:rPr>
          <w:rFonts w:ascii="Times New Roman" w:hAnsi="Times New Roman"/>
          <w:b w:val="0"/>
          <w:i w:val="0"/>
          <w:color w:val="1E293B"/>
          <w:sz w:val="22"/>
        </w:rPr>
        <w:t>Implemented in com.resumex.algorithms.SequenceAlignment. Career progression and qualification coherence are evaluated by determining the optimal global alignment between technical sequences extracted from the resume and the priority sequence of the job description. With match bonus (+2), mismatch penalty (-1), and gap penalty (-1), the DP grid F(i, j) = max(F(i-1, j-1) + S, F(i-1, j) - d, F(i, j-1) - d) calculates an optimal alignment path, penalizing structural omissions and out-of-order competencies.</w:t>
      </w:r>
    </w:p>
    <w:p>
      <w:pPr>
        <w:spacing w:before="200" w:after="80" w:line="276" w:lineRule="auto"/>
        <w:jc w:val="left"/>
      </w:pPr>
      <w:r/>
      <w:r>
        <w:rPr>
          <w:rFonts w:ascii="Times New Roman" w:hAnsi="Times New Roman"/>
          <w:b/>
          <w:i w:val="0"/>
          <w:color w:val="1E293B"/>
          <w:sz w:val="24"/>
        </w:rPr>
        <w:t>2.7 Suffix Array &amp; Kasai's Longest Common Prefix (LCP)</w:t>
      </w:r>
    </w:p>
    <w:p>
      <w:pPr>
        <w:spacing w:before="0" w:after="120" w:line="276" w:lineRule="auto"/>
        <w:jc w:val="both"/>
      </w:pPr>
      <w:r/>
      <w:r>
        <w:rPr>
          <w:rFonts w:ascii="Times New Roman" w:hAnsi="Times New Roman"/>
          <w:b w:val="0"/>
          <w:i w:val="0"/>
          <w:color w:val="1E293B"/>
          <w:sz w:val="22"/>
        </w:rPr>
        <w:t>Implemented in com.resumex.algorithms.SuffixArray and LCPArray. Suffix arrays provide a compact O(N) integer representation of all sorted suffixes of the candidate corpus, enabling O(M log N) binary pattern lookup. To discover complex domain phrases and project descriptions shared between the resume and requisition, Kasai's algorithm computes the Longest Common Prefix (LCP) array in linear O(N) time utilizing suffix rank invariants.</w:t>
      </w:r>
    </w:p>
    <w:p>
      <w:pPr>
        <w:spacing w:before="200" w:after="80" w:line="276" w:lineRule="auto"/>
        <w:jc w:val="left"/>
      </w:pPr>
      <w:r/>
      <w:r>
        <w:rPr>
          <w:rFonts w:ascii="Times New Roman" w:hAnsi="Times New Roman"/>
          <w:b/>
          <w:i w:val="0"/>
          <w:color w:val="1E293B"/>
          <w:sz w:val="24"/>
        </w:rPr>
        <w:t>2.8 Cryptographic SHA-256 Hashing &amp; Duplicate Detection</w:t>
      </w:r>
    </w:p>
    <w:p>
      <w:pPr>
        <w:spacing w:before="0" w:after="120" w:line="276" w:lineRule="auto"/>
        <w:jc w:val="both"/>
      </w:pPr>
      <w:r/>
      <w:r>
        <w:rPr>
          <w:rFonts w:ascii="Times New Roman" w:hAnsi="Times New Roman"/>
          <w:b w:val="0"/>
          <w:i w:val="0"/>
          <w:color w:val="1E293B"/>
          <w:sz w:val="22"/>
        </w:rPr>
        <w:t>Implemented in com.resumex.algorithms.Hashing and DuplicateDetector. Exact duplicate resume submissions are identified in O(1) hash lookup by calculating the SHA-256 cryptographic message digest of normalized resume bodies. Near-duplicates (such as updated resumes with identical work histories) are audited using token frequency Jaccard similarity thresholds J(A, B) = |A intersect B| / |A union B| &gt;= 0.85.</w:t>
      </w:r>
    </w:p>
    <w:p>
      <w:pPr>
        <w:spacing w:before="200" w:after="80" w:line="276" w:lineRule="auto"/>
        <w:jc w:val="left"/>
      </w:pPr>
      <w:r/>
      <w:r>
        <w:rPr>
          <w:rFonts w:ascii="Times New Roman" w:hAnsi="Times New Roman"/>
          <w:b/>
          <w:i w:val="0"/>
          <w:color w:val="1E293B"/>
          <w:sz w:val="24"/>
        </w:rPr>
        <w:t>2.9 Greedy Approximation Optimization</w:t>
      </w:r>
    </w:p>
    <w:p>
      <w:pPr>
        <w:spacing w:before="0" w:after="120" w:line="276" w:lineRule="auto"/>
        <w:jc w:val="both"/>
      </w:pPr>
      <w:r/>
      <w:r>
        <w:rPr>
          <w:rFonts w:ascii="Times New Roman" w:hAnsi="Times New Roman"/>
          <w:b w:val="0"/>
          <w:i w:val="0"/>
          <w:color w:val="1E293B"/>
          <w:sz w:val="22"/>
        </w:rPr>
        <w:t>Implemented in com.resumex.algorithms.ApproximateMatcher. Candidate ranking across multi-dimensional criteria presents a multi-objective optimization problem. ResumeX employs a greedy set-cover approximation algorithm to determine the optimal candidate ranking density under variable requirement weightings without exponential combinatorial search.</w:t>
      </w:r>
    </w:p>
    <w:p>
      <w:pPr>
        <w:spacing w:before="200" w:after="80" w:line="276" w:lineRule="auto"/>
        <w:jc w:val="left"/>
      </w:pPr>
      <w:r/>
      <w:r>
        <w:rPr>
          <w:rFonts w:ascii="Times New Roman" w:hAnsi="Times New Roman"/>
          <w:b/>
          <w:i w:val="0"/>
          <w:color w:val="1E293B"/>
          <w:sz w:val="24"/>
        </w:rPr>
        <w:t>2.10 Adaptability of Methodology Across Domains and Systems</w:t>
      </w:r>
    </w:p>
    <w:p>
      <w:pPr>
        <w:spacing w:before="0" w:after="120" w:line="276" w:lineRule="auto"/>
        <w:jc w:val="both"/>
      </w:pPr>
      <w:r/>
      <w:r>
        <w:rPr>
          <w:rFonts w:ascii="Times New Roman" w:hAnsi="Times New Roman"/>
          <w:b w:val="0"/>
          <w:i w:val="0"/>
          <w:color w:val="1E293B"/>
          <w:sz w:val="22"/>
        </w:rPr>
        <w:t>The ResumeX methodology is engineered for exceptional adaptability across diverse recruitment sectors and technical job families. Rather than hardcoding rigid criteria, the composite evaluation engine operates via a dynamically configurable weight matrix w_k, allowing talent acquisition teams to instantly adapt the platform from backend engineering requisitions (emphasizing KMP exact stack matches and sequence alignment) to interdisciplinary roles such as DevOps or Data Science (elevating edit distance tolerance and LCP project collocations). Furthermore, the streaming Apache PDFBox ingestion layer handles multi-page resumes, academic CVs, and varying layout templates in memory with zero disk persistence, ensuring total platform adaptability without enterprise infrastructure reconfiguration.</w:t>
      </w:r>
    </w:p>
    <w:p>
      <w:pPr>
        <w:spacing w:before="200" w:after="80" w:line="276" w:lineRule="auto"/>
        <w:jc w:val="left"/>
      </w:pPr>
      <w:r/>
      <w:r>
        <w:rPr>
          <w:rFonts w:ascii="Times New Roman" w:hAnsi="Times New Roman"/>
          <w:b/>
          <w:i w:val="0"/>
          <w:color w:val="0F172A"/>
          <w:sz w:val="20"/>
        </w:rPr>
        <w:t>TABLE 1: Summary of Core DSA Algorithms, Complexity, and Primary Function</w:t>
      </w:r>
    </w:p>
    <w:tbl>
      <w:tblPr>
        <w:tblW w:type="auto" w:w="0"/>
        <w:jc w:val="center"/>
        <w:tblLook w:firstColumn="1" w:firstRow="1" w:lastColumn="0" w:lastRow="0" w:noHBand="0" w:noVBand="1" w:val="04A0"/>
      </w:tblPr>
      <w:tblGrid>
        <w:gridCol w:w="2523"/>
        <w:gridCol w:w="2523"/>
        <w:gridCol w:w="2523"/>
        <w:gridCol w:w="2523"/>
      </w:tblGrid>
      <w:tr>
        <w:tc>
          <w:tcPr>
            <w:tcW w:type="dxa" w:w="2160"/>
            <w:vAlign w:val="center"/>
            <w:tcMar>
              <w:top w:w="120" w:type="dxa"/>
              <w:bottom w:w="120" w:type="dxa"/>
              <w:left w:w="140" w:type="dxa"/>
              <w:right w:w="140" w:type="dxa"/>
            </w:tcMar>
            <w:shd w:val="clear" w:color="auto" w:fill="0F172A"/>
          </w:tcPr>
          <w:p>
            <w:pPr>
              <w:spacing w:before="40" w:after="40"/>
              <w:jc w:val="left"/>
            </w:pPr>
            <w:r/>
            <w:r>
              <w:rPr>
                <w:rFonts w:ascii="Times New Roman" w:hAnsi="Times New Roman"/>
                <w:b/>
                <w:i w:val="0"/>
                <w:color w:val="FFFFFF"/>
                <w:sz w:val="20"/>
              </w:rPr>
              <w:t>Algorithm</w:t>
            </w:r>
          </w:p>
        </w:tc>
        <w:tc>
          <w:tcPr>
            <w:tcW w:type="dxa" w:w="2160"/>
            <w:vAlign w:val="center"/>
            <w:tcMar>
              <w:top w:w="120" w:type="dxa"/>
              <w:bottom w:w="120" w:type="dxa"/>
              <w:left w:w="140" w:type="dxa"/>
              <w:right w:w="140" w:type="dxa"/>
            </w:tcMar>
            <w:shd w:val="clear" w:color="auto" w:fill="0F172A"/>
          </w:tcPr>
          <w:p>
            <w:pPr>
              <w:spacing w:before="40" w:after="40"/>
              <w:jc w:val="left"/>
            </w:pPr>
            <w:r/>
            <w:r>
              <w:rPr>
                <w:rFonts w:ascii="Times New Roman" w:hAnsi="Times New Roman"/>
                <w:b/>
                <w:i w:val="0"/>
                <w:color w:val="FFFFFF"/>
                <w:sz w:val="20"/>
              </w:rPr>
              <w:t>DSA Category</w:t>
            </w:r>
          </w:p>
        </w:tc>
        <w:tc>
          <w:tcPr>
            <w:tcW w:type="dxa" w:w="2592"/>
            <w:vAlign w:val="center"/>
            <w:tcMar>
              <w:top w:w="120" w:type="dxa"/>
              <w:bottom w:w="120" w:type="dxa"/>
              <w:left w:w="140" w:type="dxa"/>
              <w:right w:w="140" w:type="dxa"/>
            </w:tcMar>
            <w:shd w:val="clear" w:color="auto" w:fill="0F172A"/>
          </w:tcPr>
          <w:p>
            <w:pPr>
              <w:spacing w:before="40" w:after="40"/>
              <w:jc w:val="left"/>
            </w:pPr>
            <w:r/>
            <w:r>
              <w:rPr>
                <w:rFonts w:ascii="Times New Roman" w:hAnsi="Times New Roman"/>
                <w:b/>
                <w:i w:val="0"/>
                <w:color w:val="FFFFFF"/>
                <w:sz w:val="20"/>
              </w:rPr>
              <w:t>Primary Recruitment Role</w:t>
            </w:r>
          </w:p>
        </w:tc>
        <w:tc>
          <w:tcPr>
            <w:tcW w:type="dxa" w:w="2016"/>
            <w:vAlign w:val="center"/>
            <w:tcMar>
              <w:top w:w="120" w:type="dxa"/>
              <w:bottom w:w="120" w:type="dxa"/>
              <w:left w:w="140" w:type="dxa"/>
              <w:right w:w="140" w:type="dxa"/>
            </w:tcMar>
            <w:shd w:val="clear" w:color="auto" w:fill="0F172A"/>
          </w:tcPr>
          <w:p>
            <w:pPr>
              <w:spacing w:before="40" w:after="40"/>
              <w:jc w:val="left"/>
            </w:pPr>
            <w:r/>
            <w:r>
              <w:rPr>
                <w:rFonts w:ascii="Times New Roman" w:hAnsi="Times New Roman"/>
                <w:b/>
                <w:i w:val="0"/>
                <w:color w:val="FFFFFF"/>
                <w:sz w:val="20"/>
              </w:rPr>
              <w:t>Time Complexity</w:t>
            </w:r>
          </w:p>
        </w:tc>
      </w:tr>
      <w:tr>
        <w:tc>
          <w:tcPr>
            <w:tcW w:type="dxa" w:w="2160"/>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Knuth-Morris-Pratt</w:t>
            </w:r>
          </w:p>
        </w:tc>
        <w:tc>
          <w:tcPr>
            <w:tcW w:type="dxa" w:w="2160"/>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String Matching</w:t>
            </w:r>
          </w:p>
        </w:tc>
        <w:tc>
          <w:tcPr>
            <w:tcW w:type="dxa" w:w="2592"/>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Exact skill &amp; tech-stack search</w:t>
            </w:r>
          </w:p>
        </w:tc>
        <w:tc>
          <w:tcPr>
            <w:tcW w:type="dxa" w:w="2016"/>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O(N + M)</w:t>
            </w:r>
          </w:p>
        </w:tc>
      </w:tr>
      <w:tr>
        <w:tc>
          <w:tcPr>
            <w:tcW w:type="dxa" w:w="2160"/>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Levenshtein DP</w:t>
            </w:r>
          </w:p>
        </w:tc>
        <w:tc>
          <w:tcPr>
            <w:tcW w:type="dxa" w:w="2160"/>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Dynamic Programming</w:t>
            </w:r>
          </w:p>
        </w:tc>
        <w:tc>
          <w:tcPr>
            <w:tcW w:type="dxa" w:w="2592"/>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Typo &amp; abbreviation tolerance</w:t>
            </w:r>
          </w:p>
        </w:tc>
        <w:tc>
          <w:tcPr>
            <w:tcW w:type="dxa" w:w="2016"/>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O(N * M)</w:t>
            </w:r>
          </w:p>
        </w:tc>
      </w:tr>
      <w:tr>
        <w:tc>
          <w:tcPr>
            <w:tcW w:type="dxa" w:w="2160"/>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Needleman-Wunsch</w:t>
            </w:r>
          </w:p>
        </w:tc>
        <w:tc>
          <w:tcPr>
            <w:tcW w:type="dxa" w:w="2160"/>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Sequence Alignment DP</w:t>
            </w:r>
          </w:p>
        </w:tc>
        <w:tc>
          <w:tcPr>
            <w:tcW w:type="dxa" w:w="2592"/>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Qualification order &amp; progression</w:t>
            </w:r>
          </w:p>
        </w:tc>
        <w:tc>
          <w:tcPr>
            <w:tcW w:type="dxa" w:w="2016"/>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O(N * M)</w:t>
            </w:r>
          </w:p>
        </w:tc>
      </w:tr>
      <w:tr>
        <w:tc>
          <w:tcPr>
            <w:tcW w:type="dxa" w:w="2160"/>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Suffix Array</w:t>
            </w:r>
          </w:p>
        </w:tc>
        <w:tc>
          <w:tcPr>
            <w:tcW w:type="dxa" w:w="2160"/>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String Indexing</w:t>
            </w:r>
          </w:p>
        </w:tc>
        <w:tc>
          <w:tcPr>
            <w:tcW w:type="dxa" w:w="2592"/>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Full-text indexing &amp; pattern search</w:t>
            </w:r>
          </w:p>
        </w:tc>
        <w:tc>
          <w:tcPr>
            <w:tcW w:type="dxa" w:w="2016"/>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O(N log^2 N)</w:t>
            </w:r>
          </w:p>
        </w:tc>
      </w:tr>
      <w:tr>
        <w:tc>
          <w:tcPr>
            <w:tcW w:type="dxa" w:w="2160"/>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Kasai's LCP Array</w:t>
            </w:r>
          </w:p>
        </w:tc>
        <w:tc>
          <w:tcPr>
            <w:tcW w:type="dxa" w:w="2160"/>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Array Processing</w:t>
            </w:r>
          </w:p>
        </w:tc>
        <w:tc>
          <w:tcPr>
            <w:tcW w:type="dxa" w:w="2592"/>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Longest common phrase discovery</w:t>
            </w:r>
          </w:p>
        </w:tc>
        <w:tc>
          <w:tcPr>
            <w:tcW w:type="dxa" w:w="2016"/>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O(N)</w:t>
            </w:r>
          </w:p>
        </w:tc>
      </w:tr>
      <w:tr>
        <w:tc>
          <w:tcPr>
            <w:tcW w:type="dxa" w:w="2160"/>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SHA-256 Hashing</w:t>
            </w:r>
          </w:p>
        </w:tc>
        <w:tc>
          <w:tcPr>
            <w:tcW w:type="dxa" w:w="2160"/>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Cryptographic Hash</w:t>
            </w:r>
          </w:p>
        </w:tc>
        <w:tc>
          <w:tcPr>
            <w:tcW w:type="dxa" w:w="2592"/>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Exact duplicate resume detection</w:t>
            </w:r>
          </w:p>
        </w:tc>
        <w:tc>
          <w:tcPr>
            <w:tcW w:type="dxa" w:w="2016"/>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O(N)</w:t>
            </w:r>
          </w:p>
        </w:tc>
      </w:tr>
      <w:tr>
        <w:tc>
          <w:tcPr>
            <w:tcW w:type="dxa" w:w="2160"/>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Greedy Approx.</w:t>
            </w:r>
          </w:p>
        </w:tc>
        <w:tc>
          <w:tcPr>
            <w:tcW w:type="dxa" w:w="2160"/>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Approximation</w:t>
            </w:r>
          </w:p>
        </w:tc>
        <w:tc>
          <w:tcPr>
            <w:tcW w:type="dxa" w:w="2592"/>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Multi-criteria ranking optimization</w:t>
            </w:r>
          </w:p>
        </w:tc>
        <w:tc>
          <w:tcPr>
            <w:tcW w:type="dxa" w:w="2016"/>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O(K log K)</w:t>
            </w:r>
          </w:p>
        </w:tc>
      </w:tr>
    </w:tbl>
    <w:p>
      <w:pPr>
        <w:spacing w:before="240" w:after="80" w:line="276" w:lineRule="auto"/>
        <w:jc w:val="left"/>
      </w:pPr>
      <w:r/>
      <w:r>
        <w:rPr>
          <w:rFonts w:ascii="Times New Roman" w:hAnsi="Times New Roman"/>
          <w:b/>
          <w:i w:val="0"/>
          <w:color w:val="0F172A"/>
          <w:sz w:val="20"/>
        </w:rPr>
        <w:t>TABLE 2: Mathematical Weight Allocation for Composite Candidate Match Scoring</w:t>
      </w:r>
    </w:p>
    <w:tbl>
      <w:tblPr>
        <w:tblW w:type="auto" w:w="0"/>
        <w:jc w:val="center"/>
        <w:tblLook w:firstColumn="1" w:firstRow="1" w:lastColumn="0" w:lastRow="0" w:noHBand="0" w:noVBand="1" w:val="04A0"/>
      </w:tblPr>
      <w:tblGrid>
        <w:gridCol w:w="2523"/>
        <w:gridCol w:w="2523"/>
        <w:gridCol w:w="2523"/>
        <w:gridCol w:w="2523"/>
      </w:tblGrid>
      <w:tr>
        <w:tc>
          <w:tcPr>
            <w:tcW w:type="dxa" w:w="2592"/>
            <w:vAlign w:val="center"/>
            <w:tcMar>
              <w:top w:w="120" w:type="dxa"/>
              <w:bottom w:w="120" w:type="dxa"/>
              <w:left w:w="140" w:type="dxa"/>
              <w:right w:w="140" w:type="dxa"/>
            </w:tcMar>
            <w:shd w:val="clear" w:color="auto" w:fill="0F172A"/>
          </w:tcPr>
          <w:p>
            <w:pPr>
              <w:spacing w:before="40" w:after="40"/>
              <w:jc w:val="left"/>
            </w:pPr>
            <w:r/>
            <w:r>
              <w:rPr>
                <w:rFonts w:ascii="Times New Roman" w:hAnsi="Times New Roman"/>
                <w:b/>
                <w:i w:val="0"/>
                <w:color w:val="FFFFFF"/>
                <w:sz w:val="20"/>
              </w:rPr>
              <w:t>Metric Component</w:t>
            </w:r>
          </w:p>
        </w:tc>
        <w:tc>
          <w:tcPr>
            <w:tcW w:type="dxa" w:w="2304"/>
            <w:vAlign w:val="center"/>
            <w:tcMar>
              <w:top w:w="120" w:type="dxa"/>
              <w:bottom w:w="120" w:type="dxa"/>
              <w:left w:w="140" w:type="dxa"/>
              <w:right w:w="140" w:type="dxa"/>
            </w:tcMar>
            <w:shd w:val="clear" w:color="auto" w:fill="0F172A"/>
          </w:tcPr>
          <w:p>
            <w:pPr>
              <w:spacing w:before="40" w:after="40"/>
              <w:jc w:val="left"/>
            </w:pPr>
            <w:r/>
            <w:r>
              <w:rPr>
                <w:rFonts w:ascii="Times New Roman" w:hAnsi="Times New Roman"/>
                <w:b/>
                <w:i w:val="0"/>
                <w:color w:val="FFFFFF"/>
                <w:sz w:val="20"/>
              </w:rPr>
              <w:t>Algorithmic Source</w:t>
            </w:r>
          </w:p>
        </w:tc>
        <w:tc>
          <w:tcPr>
            <w:tcW w:type="dxa" w:w="1584"/>
            <w:vAlign w:val="center"/>
            <w:tcMar>
              <w:top w:w="120" w:type="dxa"/>
              <w:bottom w:w="120" w:type="dxa"/>
              <w:left w:w="140" w:type="dxa"/>
              <w:right w:w="140" w:type="dxa"/>
            </w:tcMar>
            <w:shd w:val="clear" w:color="auto" w:fill="0F172A"/>
          </w:tcPr>
          <w:p>
            <w:pPr>
              <w:spacing w:before="40" w:after="40"/>
              <w:jc w:val="left"/>
            </w:pPr>
            <w:r/>
            <w:r>
              <w:rPr>
                <w:rFonts w:ascii="Times New Roman" w:hAnsi="Times New Roman"/>
                <w:b/>
                <w:i w:val="0"/>
                <w:color w:val="FFFFFF"/>
                <w:sz w:val="20"/>
              </w:rPr>
              <w:t>Weight (w_k)</w:t>
            </w:r>
          </w:p>
        </w:tc>
        <w:tc>
          <w:tcPr>
            <w:tcW w:type="dxa" w:w="2448"/>
            <w:vAlign w:val="center"/>
            <w:tcMar>
              <w:top w:w="120" w:type="dxa"/>
              <w:bottom w:w="120" w:type="dxa"/>
              <w:left w:w="140" w:type="dxa"/>
              <w:right w:w="140" w:type="dxa"/>
            </w:tcMar>
            <w:shd w:val="clear" w:color="auto" w:fill="0F172A"/>
          </w:tcPr>
          <w:p>
            <w:pPr>
              <w:spacing w:before="40" w:after="40"/>
              <w:jc w:val="left"/>
            </w:pPr>
            <w:r/>
            <w:r>
              <w:rPr>
                <w:rFonts w:ascii="Times New Roman" w:hAnsi="Times New Roman"/>
                <w:b/>
                <w:i w:val="0"/>
                <w:color w:val="FFFFFF"/>
                <w:sz w:val="20"/>
              </w:rPr>
              <w:t>Evaluation Focus</w:t>
            </w:r>
          </w:p>
        </w:tc>
      </w:tr>
      <w:tr>
        <w:tc>
          <w:tcPr>
            <w:tcW w:type="dxa" w:w="2592"/>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Skill Match</w:t>
            </w:r>
          </w:p>
        </w:tc>
        <w:tc>
          <w:tcPr>
            <w:tcW w:type="dxa" w:w="2304"/>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KMP String Matching</w:t>
            </w:r>
          </w:p>
        </w:tc>
        <w:tc>
          <w:tcPr>
            <w:tcW w:type="dxa" w:w="1584"/>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30% (0.30)</w:t>
            </w:r>
          </w:p>
        </w:tc>
        <w:tc>
          <w:tcPr>
            <w:tcW w:type="dxa" w:w="2448"/>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Mandatory required skills</w:t>
            </w:r>
          </w:p>
        </w:tc>
      </w:tr>
      <w:tr>
        <w:tc>
          <w:tcPr>
            <w:tcW w:type="dxa" w:w="2592"/>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String Density</w:t>
            </w:r>
          </w:p>
        </w:tc>
        <w:tc>
          <w:tcPr>
            <w:tcW w:type="dxa" w:w="2304"/>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Keyword Matching</w:t>
            </w:r>
          </w:p>
        </w:tc>
        <w:tc>
          <w:tcPr>
            <w:tcW w:type="dxa" w:w="1584"/>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20% (0.20)</w:t>
            </w:r>
          </w:p>
        </w:tc>
        <w:tc>
          <w:tcPr>
            <w:tcW w:type="dxa" w:w="2448"/>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Domain terminology breadth</w:t>
            </w:r>
          </w:p>
        </w:tc>
      </w:tr>
      <w:tr>
        <w:tc>
          <w:tcPr>
            <w:tcW w:type="dxa" w:w="2592"/>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Edit Distance</w:t>
            </w:r>
          </w:p>
        </w:tc>
        <w:tc>
          <w:tcPr>
            <w:tcW w:type="dxa" w:w="2304"/>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Levenshtein DP</w:t>
            </w:r>
          </w:p>
        </w:tc>
        <w:tc>
          <w:tcPr>
            <w:tcW w:type="dxa" w:w="1584"/>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15% (0.15)</w:t>
            </w:r>
          </w:p>
        </w:tc>
        <w:tc>
          <w:tcPr>
            <w:tcW w:type="dxa" w:w="2448"/>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Typo &amp; format discrepancy</w:t>
            </w:r>
          </w:p>
        </w:tc>
      </w:tr>
      <w:tr>
        <w:tc>
          <w:tcPr>
            <w:tcW w:type="dxa" w:w="2592"/>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Sequence Alignment</w:t>
            </w:r>
          </w:p>
        </w:tc>
        <w:tc>
          <w:tcPr>
            <w:tcW w:type="dxa" w:w="2304"/>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Needleman-Wunsch DP</w:t>
            </w:r>
          </w:p>
        </w:tc>
        <w:tc>
          <w:tcPr>
            <w:tcW w:type="dxa" w:w="1584"/>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15% (0.15)</w:t>
            </w:r>
          </w:p>
        </w:tc>
        <w:tc>
          <w:tcPr>
            <w:tcW w:type="dxa" w:w="2448"/>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Structural workflow sequence</w:t>
            </w:r>
          </w:p>
        </w:tc>
      </w:tr>
      <w:tr>
        <w:tc>
          <w:tcPr>
            <w:tcW w:type="dxa" w:w="2592"/>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Suffix / LCP Score</w:t>
            </w:r>
          </w:p>
        </w:tc>
        <w:tc>
          <w:tcPr>
            <w:tcW w:type="dxa" w:w="2304"/>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Kasai Algorithm</w:t>
            </w:r>
          </w:p>
        </w:tc>
        <w:tc>
          <w:tcPr>
            <w:tcW w:type="dxa" w:w="1584"/>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10% (0.10)</w:t>
            </w:r>
          </w:p>
        </w:tc>
        <w:tc>
          <w:tcPr>
            <w:tcW w:type="dxa" w:w="2448"/>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Deep project collocations</w:t>
            </w:r>
          </w:p>
        </w:tc>
      </w:tr>
      <w:tr>
        <w:tc>
          <w:tcPr>
            <w:tcW w:type="dxa" w:w="2592"/>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Approximation Factor</w:t>
            </w:r>
          </w:p>
        </w:tc>
        <w:tc>
          <w:tcPr>
            <w:tcW w:type="dxa" w:w="2304"/>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Greedy Set-Cover</w:t>
            </w:r>
          </w:p>
        </w:tc>
        <w:tc>
          <w:tcPr>
            <w:tcW w:type="dxa" w:w="1584"/>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10% (0.10)</w:t>
            </w:r>
          </w:p>
        </w:tc>
        <w:tc>
          <w:tcPr>
            <w:tcW w:type="dxa" w:w="2448"/>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Multi-objective density</w:t>
            </w:r>
          </w:p>
        </w:tc>
      </w:tr>
    </w:tbl>
    <w:p>
      <w:pPr>
        <w:spacing w:before="280" w:after="120" w:line="276" w:lineRule="auto"/>
        <w:jc w:val="left"/>
      </w:pPr>
      <w:r/>
      <w:r>
        <w:rPr>
          <w:rFonts w:ascii="Times New Roman" w:hAnsi="Times New Roman"/>
          <w:b/>
          <w:i w:val="0"/>
          <w:color w:val="0F172A"/>
          <w:sz w:val="28"/>
        </w:rPr>
        <w:t>3. EXPERIMENTS &amp; BENCHMARK SETUP</w:t>
      </w:r>
    </w:p>
    <w:p>
      <w:pPr>
        <w:spacing w:before="200" w:after="80" w:line="276" w:lineRule="auto"/>
        <w:jc w:val="left"/>
      </w:pPr>
      <w:r/>
      <w:r>
        <w:rPr>
          <w:rFonts w:ascii="Times New Roman" w:hAnsi="Times New Roman"/>
          <w:b/>
          <w:i w:val="0"/>
          <w:color w:val="1E293B"/>
          <w:sz w:val="24"/>
        </w:rPr>
        <w:t>3.1 Benchmark Dataset &amp; Candidate Corpus</w:t>
      </w:r>
    </w:p>
    <w:p>
      <w:pPr>
        <w:spacing w:before="0" w:after="120" w:line="276" w:lineRule="auto"/>
        <w:jc w:val="both"/>
      </w:pPr>
      <w:r/>
      <w:r>
        <w:rPr>
          <w:rFonts w:ascii="Times New Roman" w:hAnsi="Times New Roman"/>
          <w:b w:val="0"/>
          <w:i w:val="0"/>
          <w:color w:val="1E293B"/>
          <w:sz w:val="22"/>
        </w:rPr>
        <w:t>To rigorously evaluate ResumeX for Review 3, comprehensive experiments were conducted using eight diverse technical candidate resumes formatted as real-world PDF documents (located in resumes/ and Desktop/ResumeX_Test_Resumes/). The benchmark dataset encapsulates four distinct candidate profiles: (1) Senior Java Engineers exhibiting complete stack alignment (Rahul Sharma, Neha Kapoor), (2) Experienced Java Developers with minor gaps (Sneha Patel, Priya Reddy), (3) Junior/Mid Backend Engineers (Karan Mehta), (4) Divergent Technical Specializations such as Machine Learning and DevOps (Arjun Kumar, Vikram Malhotra), and (5) An exact duplicate file (Rahul_Sharma_Duplicate.pdf) to validate duplicate detection.</w:t>
      </w:r>
    </w:p>
    <w:p>
      <w:pPr>
        <w:spacing w:before="200" w:after="80" w:line="276" w:lineRule="auto"/>
        <w:jc w:val="left"/>
      </w:pPr>
      <w:r/>
      <w:r>
        <w:rPr>
          <w:rFonts w:ascii="Times New Roman" w:hAnsi="Times New Roman"/>
          <w:b/>
          <w:i w:val="0"/>
          <w:color w:val="1E293B"/>
          <w:sz w:val="24"/>
        </w:rPr>
        <w:t>3.2 Target Job Requisition Specification</w:t>
      </w:r>
    </w:p>
    <w:p>
      <w:pPr>
        <w:spacing w:before="0" w:after="120" w:line="276" w:lineRule="auto"/>
        <w:jc w:val="both"/>
      </w:pPr>
      <w:r/>
      <w:r>
        <w:rPr>
          <w:rFonts w:ascii="Times New Roman" w:hAnsi="Times New Roman"/>
          <w:b w:val="0"/>
          <w:i w:val="0"/>
          <w:color w:val="1E293B"/>
          <w:sz w:val="22"/>
        </w:rPr>
        <w:t>The target evaluation job requisition was configured as a Senior Java Backend Developer role requiring nine core competencies: Java, Spring Boot, REST API, SQL, MySQL, Git, Docker, Data Structures, and Algorithms. Screening latency, algorithmic score distributions, and duplicate detection precision were recorded across repeated execution batches on Apple Silicon M-series hardware running OpenJDK 21 LTS.</w:t>
      </w:r>
    </w:p>
    <w:p>
      <w:pPr>
        <w:spacing w:before="200" w:after="80" w:line="276" w:lineRule="auto"/>
        <w:jc w:val="left"/>
      </w:pPr>
      <w:r/>
      <w:r>
        <w:rPr>
          <w:rFonts w:ascii="Times New Roman" w:hAnsi="Times New Roman"/>
          <w:b/>
          <w:i w:val="0"/>
          <w:color w:val="1E293B"/>
          <w:sz w:val="24"/>
        </w:rPr>
        <w:t>3.3 Execution Environment &amp; Hardware Setup</w:t>
      </w:r>
    </w:p>
    <w:p>
      <w:pPr>
        <w:spacing w:before="0" w:after="120" w:line="276" w:lineRule="auto"/>
        <w:jc w:val="both"/>
      </w:pPr>
      <w:r/>
      <w:r>
        <w:rPr>
          <w:rFonts w:ascii="Times New Roman" w:hAnsi="Times New Roman"/>
          <w:b w:val="0"/>
          <w:i w:val="0"/>
          <w:color w:val="1E293B"/>
          <w:sz w:val="22"/>
        </w:rPr>
        <w:t>All computational benchmarks were executed on an Apple Silicon Darwin workstation equipped with OpenJDK 21.0.2 (64-Bit Server VM), 16 GB unified memory, and high-speed NVMe storage. The Java backend server ran on port 8080 while the React frontend served on port 5173. Measurements were captured using System.nanoTime() averaged across 50 warm-up runs and 100 test iterations per document.</w:t>
      </w:r>
    </w:p>
    <w:p>
      <w:pPr>
        <w:spacing w:before="280" w:after="120" w:line="276" w:lineRule="auto"/>
        <w:jc w:val="left"/>
      </w:pPr>
      <w:r/>
      <w:r>
        <w:rPr>
          <w:rFonts w:ascii="Times New Roman" w:hAnsi="Times New Roman"/>
          <w:b/>
          <w:i w:val="0"/>
          <w:color w:val="0F172A"/>
          <w:sz w:val="28"/>
        </w:rPr>
        <w:t>4. RESULTS &amp; METHODOLOGY EVALUATION</w:t>
      </w:r>
    </w:p>
    <w:p>
      <w:pPr>
        <w:spacing w:before="200" w:after="80" w:line="276" w:lineRule="auto"/>
        <w:jc w:val="left"/>
      </w:pPr>
      <w:r/>
      <w:r>
        <w:rPr>
          <w:rFonts w:ascii="Times New Roman" w:hAnsi="Times New Roman"/>
          <w:b/>
          <w:i w:val="0"/>
          <w:color w:val="1E293B"/>
          <w:sz w:val="24"/>
        </w:rPr>
        <w:t>4.1 Methodology Evaluation: Screening Accuracy and Ranking</w:t>
      </w:r>
    </w:p>
    <w:p>
      <w:pPr>
        <w:spacing w:before="0" w:after="120" w:line="276" w:lineRule="auto"/>
        <w:jc w:val="both"/>
      </w:pPr>
      <w:r/>
      <w:r>
        <w:rPr>
          <w:rFonts w:ascii="Times New Roman" w:hAnsi="Times New Roman"/>
          <w:b w:val="0"/>
          <w:i w:val="0"/>
          <w:color w:val="1E293B"/>
          <w:sz w:val="22"/>
        </w:rPr>
        <w:t>Table 3 summarizes the empirical candidate evaluation results generated by the Java DSA screening engine. Candidates possessing comprehensive alignment with the required stack attained scores exceeding 80%, successfully qualifying for the Shortlisted tier. Candidates with missing architectural requirements (such as Docker or REST APIs) were appropriately categorized into the Under Review tier (55% - 69%), while candidates from mismatched disciplines (such as Machine Learning) were ranked in the Low Match category (&lt; 55%).</w:t>
        <w:br/>
        <w:br/>
        <w:t>Figure 2 illustrates the multi-dimensional score distributions across all tested candidates, highlighting the distinct contributions of KMP Skill Matching, String Matching, Sequence Alignment, and Overall Weighted Composite Match Scores.</w:t>
      </w:r>
    </w:p>
    <w:p>
      <w:pPr>
        <w:spacing w:before="160" w:after="80"/>
        <w:jc w:val="center"/>
      </w:pPr>
      <w:r>
        <w:drawing>
          <wp:inline xmlns:a="http://schemas.openxmlformats.org/drawingml/2006/main" xmlns:pic="http://schemas.openxmlformats.org/drawingml/2006/picture">
            <wp:extent cx="5486400" cy="2743200"/>
            <wp:docPr id="1028" name="Picture 1028"/>
            <wp:cNvGraphicFramePr>
              <a:graphicFrameLocks noChangeAspect="1"/>
            </wp:cNvGraphicFramePr>
            <a:graphic>
              <a:graphicData uri="http://schemas.openxmlformats.org/drawingml/2006/picture">
                <pic:pic>
                  <pic:nvPicPr>
                    <pic:cNvPr id="0" name="resumex_eval_chart.png"/>
                    <pic:cNvPicPr/>
                  </pic:nvPicPr>
                  <pic:blipFill>
                    <a:blip r:embed="rId17"/>
                    <a:stretch>
                      <a:fillRect/>
                    </a:stretch>
                  </pic:blipFill>
                  <pic:spPr>
                    <a:xfrm>
                      <a:off x="0" y="0"/>
                      <a:ext cx="5486400" cy="2743200"/>
                    </a:xfrm>
                    <a:prstGeom prst="rect"/>
                  </pic:spPr>
                </pic:pic>
              </a:graphicData>
            </a:graphic>
          </wp:inline>
        </w:drawing>
      </w:r>
    </w:p>
    <w:p>
      <w:pPr>
        <w:spacing w:before="40" w:after="240" w:line="276" w:lineRule="auto"/>
        <w:jc w:val="center"/>
      </w:pPr>
      <w:r/>
      <w:r>
        <w:rPr>
          <w:rFonts w:ascii="Times New Roman" w:hAnsi="Times New Roman"/>
          <w:b/>
          <w:i w:val="0"/>
          <w:color w:val="334155"/>
          <w:sz w:val="20"/>
        </w:rPr>
        <w:t>FIGURE 2: Empirical Evaluation of Benchmark Candidates Across Core DSA Scoring Metrics.</w:t>
      </w:r>
    </w:p>
    <w:p>
      <w:pPr>
        <w:spacing w:before="200" w:after="80" w:line="276" w:lineRule="auto"/>
        <w:jc w:val="left"/>
      </w:pPr>
      <w:r/>
      <w:r>
        <w:rPr>
          <w:rFonts w:ascii="Times New Roman" w:hAnsi="Times New Roman"/>
          <w:b/>
          <w:i w:val="0"/>
          <w:color w:val="0F172A"/>
          <w:sz w:val="20"/>
        </w:rPr>
        <w:t>TABLE 3: Experimental Screening &amp; Evaluation Results on Benchmark Resumes</w:t>
      </w:r>
    </w:p>
    <w:tbl>
      <w:tblPr>
        <w:tblW w:type="auto" w:w="0"/>
        <w:jc w:val="center"/>
        <w:tblLook w:firstColumn="1" w:firstRow="1" w:lastColumn="0" w:lastRow="0" w:noHBand="0" w:noVBand="1" w:val="04A0"/>
      </w:tblPr>
      <w:tblGrid>
        <w:gridCol w:w="1682"/>
        <w:gridCol w:w="1682"/>
        <w:gridCol w:w="1682"/>
        <w:gridCol w:w="1682"/>
        <w:gridCol w:w="1682"/>
        <w:gridCol w:w="1682"/>
      </w:tblGrid>
      <w:tr>
        <w:tc>
          <w:tcPr>
            <w:tcW w:type="dxa" w:w="864"/>
            <w:vAlign w:val="center"/>
            <w:tcMar>
              <w:top w:w="120" w:type="dxa"/>
              <w:bottom w:w="120" w:type="dxa"/>
              <w:left w:w="140" w:type="dxa"/>
              <w:right w:w="140" w:type="dxa"/>
            </w:tcMar>
            <w:shd w:val="clear" w:color="auto" w:fill="0F172A"/>
          </w:tcPr>
          <w:p>
            <w:pPr>
              <w:spacing w:before="40" w:after="40"/>
              <w:jc w:val="left"/>
            </w:pPr>
            <w:r/>
            <w:r>
              <w:rPr>
                <w:rFonts w:ascii="Times New Roman" w:hAnsi="Times New Roman"/>
                <w:b/>
                <w:i w:val="0"/>
                <w:color w:val="FFFFFF"/>
                <w:sz w:val="20"/>
              </w:rPr>
              <w:t>Rank</w:t>
            </w:r>
          </w:p>
        </w:tc>
        <w:tc>
          <w:tcPr>
            <w:tcW w:type="dxa" w:w="2160"/>
            <w:vAlign w:val="center"/>
            <w:tcMar>
              <w:top w:w="120" w:type="dxa"/>
              <w:bottom w:w="120" w:type="dxa"/>
              <w:left w:w="140" w:type="dxa"/>
              <w:right w:w="140" w:type="dxa"/>
            </w:tcMar>
            <w:shd w:val="clear" w:color="auto" w:fill="0F172A"/>
          </w:tcPr>
          <w:p>
            <w:pPr>
              <w:spacing w:before="40" w:after="40"/>
              <w:jc w:val="left"/>
            </w:pPr>
            <w:r/>
            <w:r>
              <w:rPr>
                <w:rFonts w:ascii="Times New Roman" w:hAnsi="Times New Roman"/>
                <w:b/>
                <w:i w:val="0"/>
                <w:color w:val="FFFFFF"/>
                <w:sz w:val="20"/>
              </w:rPr>
              <w:t>Candidate Name</w:t>
            </w:r>
          </w:p>
        </w:tc>
        <w:tc>
          <w:tcPr>
            <w:tcW w:type="dxa" w:w="2592"/>
            <w:vAlign w:val="center"/>
            <w:tcMar>
              <w:top w:w="120" w:type="dxa"/>
              <w:bottom w:w="120" w:type="dxa"/>
              <w:left w:w="140" w:type="dxa"/>
              <w:right w:w="140" w:type="dxa"/>
            </w:tcMar>
            <w:shd w:val="clear" w:color="auto" w:fill="0F172A"/>
          </w:tcPr>
          <w:p>
            <w:pPr>
              <w:spacing w:before="40" w:after="40"/>
              <w:jc w:val="left"/>
            </w:pPr>
            <w:r/>
            <w:r>
              <w:rPr>
                <w:rFonts w:ascii="Times New Roman" w:hAnsi="Times New Roman"/>
                <w:b/>
                <w:i w:val="0"/>
                <w:color w:val="FFFFFF"/>
                <w:sz w:val="20"/>
              </w:rPr>
              <w:t>Primary Profile</w:t>
            </w:r>
          </w:p>
        </w:tc>
        <w:tc>
          <w:tcPr>
            <w:tcW w:type="dxa" w:w="1296"/>
            <w:vAlign w:val="center"/>
            <w:tcMar>
              <w:top w:w="120" w:type="dxa"/>
              <w:bottom w:w="120" w:type="dxa"/>
              <w:left w:w="140" w:type="dxa"/>
              <w:right w:w="140" w:type="dxa"/>
            </w:tcMar>
            <w:shd w:val="clear" w:color="auto" w:fill="0F172A"/>
          </w:tcPr>
          <w:p>
            <w:pPr>
              <w:spacing w:before="40" w:after="40"/>
              <w:jc w:val="left"/>
            </w:pPr>
            <w:r/>
            <w:r>
              <w:rPr>
                <w:rFonts w:ascii="Times New Roman" w:hAnsi="Times New Roman"/>
                <w:b/>
                <w:i w:val="0"/>
                <w:color w:val="FFFFFF"/>
                <w:sz w:val="20"/>
              </w:rPr>
              <w:t>Score</w:t>
            </w:r>
          </w:p>
        </w:tc>
        <w:tc>
          <w:tcPr>
            <w:tcW w:type="dxa" w:w="1584"/>
            <w:vAlign w:val="center"/>
            <w:tcMar>
              <w:top w:w="120" w:type="dxa"/>
              <w:bottom w:w="120" w:type="dxa"/>
              <w:left w:w="140" w:type="dxa"/>
              <w:right w:w="140" w:type="dxa"/>
            </w:tcMar>
            <w:shd w:val="clear" w:color="auto" w:fill="0F172A"/>
          </w:tcPr>
          <w:p>
            <w:pPr>
              <w:spacing w:before="40" w:after="40"/>
              <w:jc w:val="left"/>
            </w:pPr>
            <w:r/>
            <w:r>
              <w:rPr>
                <w:rFonts w:ascii="Times New Roman" w:hAnsi="Times New Roman"/>
                <w:b/>
                <w:i w:val="0"/>
                <w:color w:val="FFFFFF"/>
                <w:sz w:val="20"/>
              </w:rPr>
              <w:t>Category</w:t>
            </w:r>
          </w:p>
        </w:tc>
        <w:tc>
          <w:tcPr>
            <w:tcW w:type="dxa" w:w="1008"/>
            <w:vAlign w:val="center"/>
            <w:tcMar>
              <w:top w:w="120" w:type="dxa"/>
              <w:bottom w:w="120" w:type="dxa"/>
              <w:left w:w="140" w:type="dxa"/>
              <w:right w:w="140" w:type="dxa"/>
            </w:tcMar>
            <w:shd w:val="clear" w:color="auto" w:fill="0F172A"/>
          </w:tcPr>
          <w:p>
            <w:pPr>
              <w:spacing w:before="40" w:after="40"/>
              <w:jc w:val="left"/>
            </w:pPr>
            <w:r/>
            <w:r>
              <w:rPr>
                <w:rFonts w:ascii="Times New Roman" w:hAnsi="Times New Roman"/>
                <w:b/>
                <w:i w:val="0"/>
                <w:color w:val="FFFFFF"/>
                <w:sz w:val="20"/>
              </w:rPr>
              <w:t>Status</w:t>
            </w:r>
          </w:p>
        </w:tc>
      </w:tr>
      <w:tr>
        <w:tc>
          <w:tcPr>
            <w:tcW w:type="dxa" w:w="864"/>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1</w:t>
            </w:r>
          </w:p>
        </w:tc>
        <w:tc>
          <w:tcPr>
            <w:tcW w:type="dxa" w:w="2160"/>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Rahul Sharma</w:t>
            </w:r>
          </w:p>
        </w:tc>
        <w:tc>
          <w:tcPr>
            <w:tcW w:type="dxa" w:w="2592"/>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Senior Java Engineer</w:t>
            </w:r>
          </w:p>
        </w:tc>
        <w:tc>
          <w:tcPr>
            <w:tcW w:type="dxa" w:w="1296"/>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84.6%</w:t>
            </w:r>
          </w:p>
        </w:tc>
        <w:tc>
          <w:tcPr>
            <w:tcW w:type="dxa" w:w="1584"/>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Shortlisted</w:t>
            </w:r>
          </w:p>
        </w:tc>
        <w:tc>
          <w:tcPr>
            <w:tcW w:type="dxa" w:w="1008"/>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Passed</w:t>
            </w:r>
          </w:p>
        </w:tc>
      </w:tr>
      <w:tr>
        <w:tc>
          <w:tcPr>
            <w:tcW w:type="dxa" w:w="864"/>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2</w:t>
            </w:r>
          </w:p>
        </w:tc>
        <w:tc>
          <w:tcPr>
            <w:tcW w:type="dxa" w:w="2160"/>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Neha Kapoor</w:t>
            </w:r>
          </w:p>
        </w:tc>
        <w:tc>
          <w:tcPr>
            <w:tcW w:type="dxa" w:w="2592"/>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Full-Stack Java / Cloud</w:t>
            </w:r>
          </w:p>
        </w:tc>
        <w:tc>
          <w:tcPr>
            <w:tcW w:type="dxa" w:w="1296"/>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81.2%</w:t>
            </w:r>
          </w:p>
        </w:tc>
        <w:tc>
          <w:tcPr>
            <w:tcW w:type="dxa" w:w="1584"/>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Shortlisted</w:t>
            </w:r>
          </w:p>
        </w:tc>
        <w:tc>
          <w:tcPr>
            <w:tcW w:type="dxa" w:w="1008"/>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Passed</w:t>
            </w:r>
          </w:p>
        </w:tc>
      </w:tr>
      <w:tr>
        <w:tc>
          <w:tcPr>
            <w:tcW w:type="dxa" w:w="864"/>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3</w:t>
            </w:r>
          </w:p>
        </w:tc>
        <w:tc>
          <w:tcPr>
            <w:tcW w:type="dxa" w:w="2160"/>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Sneha Patel</w:t>
            </w:r>
          </w:p>
        </w:tc>
        <w:tc>
          <w:tcPr>
            <w:tcW w:type="dxa" w:w="2592"/>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Mid Java Developer</w:t>
            </w:r>
          </w:p>
        </w:tc>
        <w:tc>
          <w:tcPr>
            <w:tcW w:type="dxa" w:w="1296"/>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67.8%</w:t>
            </w:r>
          </w:p>
        </w:tc>
        <w:tc>
          <w:tcPr>
            <w:tcW w:type="dxa" w:w="1584"/>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Under Review</w:t>
            </w:r>
          </w:p>
        </w:tc>
        <w:tc>
          <w:tcPr>
            <w:tcW w:type="dxa" w:w="1008"/>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Review</w:t>
            </w:r>
          </w:p>
        </w:tc>
      </w:tr>
      <w:tr>
        <w:tc>
          <w:tcPr>
            <w:tcW w:type="dxa" w:w="864"/>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4</w:t>
            </w:r>
          </w:p>
        </w:tc>
        <w:tc>
          <w:tcPr>
            <w:tcW w:type="dxa" w:w="2160"/>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Priya Reddy</w:t>
            </w:r>
          </w:p>
        </w:tc>
        <w:tc>
          <w:tcPr>
            <w:tcW w:type="dxa" w:w="2592"/>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Junior Java Backend</w:t>
            </w:r>
          </w:p>
        </w:tc>
        <w:tc>
          <w:tcPr>
            <w:tcW w:type="dxa" w:w="1296"/>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58.4%</w:t>
            </w:r>
          </w:p>
        </w:tc>
        <w:tc>
          <w:tcPr>
            <w:tcW w:type="dxa" w:w="1584"/>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Under Review</w:t>
            </w:r>
          </w:p>
        </w:tc>
        <w:tc>
          <w:tcPr>
            <w:tcW w:type="dxa" w:w="1008"/>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Review</w:t>
            </w:r>
          </w:p>
        </w:tc>
      </w:tr>
      <w:tr>
        <w:tc>
          <w:tcPr>
            <w:tcW w:type="dxa" w:w="864"/>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5</w:t>
            </w:r>
          </w:p>
        </w:tc>
        <w:tc>
          <w:tcPr>
            <w:tcW w:type="dxa" w:w="2160"/>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Arjun Kumar</w:t>
            </w:r>
          </w:p>
        </w:tc>
        <w:tc>
          <w:tcPr>
            <w:tcW w:type="dxa" w:w="2592"/>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ML / Python Specialist</w:t>
            </w:r>
          </w:p>
        </w:tc>
        <w:tc>
          <w:tcPr>
            <w:tcW w:type="dxa" w:w="1296"/>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42.1%</w:t>
            </w:r>
          </w:p>
        </w:tc>
        <w:tc>
          <w:tcPr>
            <w:tcW w:type="dxa" w:w="1584"/>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Low Match</w:t>
            </w:r>
          </w:p>
        </w:tc>
        <w:tc>
          <w:tcPr>
            <w:tcW w:type="dxa" w:w="1008"/>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Rejected</w:t>
            </w:r>
          </w:p>
        </w:tc>
      </w:tr>
      <w:tr>
        <w:tc>
          <w:tcPr>
            <w:tcW w:type="dxa" w:w="864"/>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6</w:t>
            </w:r>
          </w:p>
        </w:tc>
        <w:tc>
          <w:tcPr>
            <w:tcW w:type="dxa" w:w="2160"/>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Vikram Malhotra</w:t>
            </w:r>
          </w:p>
        </w:tc>
        <w:tc>
          <w:tcPr>
            <w:tcW w:type="dxa" w:w="2592"/>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DevOps / SRE Specialist</w:t>
            </w:r>
          </w:p>
        </w:tc>
        <w:tc>
          <w:tcPr>
            <w:tcW w:type="dxa" w:w="1296"/>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36.5%</w:t>
            </w:r>
          </w:p>
        </w:tc>
        <w:tc>
          <w:tcPr>
            <w:tcW w:type="dxa" w:w="1584"/>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Low Match</w:t>
            </w:r>
          </w:p>
        </w:tc>
        <w:tc>
          <w:tcPr>
            <w:tcW w:type="dxa" w:w="1008"/>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Rejected</w:t>
            </w:r>
          </w:p>
        </w:tc>
      </w:tr>
    </w:tbl>
    <w:p>
      <w:pPr>
        <w:spacing w:before="200" w:after="80" w:line="276" w:lineRule="auto"/>
        <w:jc w:val="left"/>
      </w:pPr>
      <w:r/>
      <w:r>
        <w:rPr>
          <w:rFonts w:ascii="Times New Roman" w:hAnsi="Times New Roman"/>
          <w:b/>
          <w:i w:val="0"/>
          <w:color w:val="1E293B"/>
          <w:sz w:val="24"/>
        </w:rPr>
        <w:t>4.2 Algorithmic Time and Space Complexity Analysis</w:t>
      </w:r>
    </w:p>
    <w:p>
      <w:pPr>
        <w:spacing w:before="0" w:after="120" w:line="276" w:lineRule="auto"/>
        <w:jc w:val="both"/>
      </w:pPr>
      <w:r/>
      <w:r>
        <w:rPr>
          <w:rFonts w:ascii="Times New Roman" w:hAnsi="Times New Roman"/>
          <w:b w:val="0"/>
          <w:i w:val="0"/>
          <w:color w:val="1E293B"/>
          <w:sz w:val="22"/>
        </w:rPr>
        <w:t>A cornerstone of the Review 3 evaluation is the rigorous theoretical and empirical complexity characterization of the pipeline. KMP string matching operates with strictly linear O(N + M) time and O(M) auxiliary space for the pi prefix table. Levenshtein Distance and Needleman-Wunsch DP execute with bounded quadratic O(N * M) time and O(N * M) matrix space. Suffix Array construction executes in O(N log^2 N) time using standard sort doubling, with Kasai's algorithm computing the LCP array in linear O(N) time. Finally, SHA-256 cryptographic hashing executes in linear O(N) single-pass stream digestion with O(1) auxiliary hash space, ensuring deterministic bounds.</w:t>
      </w:r>
    </w:p>
    <w:p>
      <w:pPr>
        <w:spacing w:before="200" w:after="80" w:line="276" w:lineRule="auto"/>
        <w:jc w:val="left"/>
      </w:pPr>
      <w:r/>
      <w:r>
        <w:rPr>
          <w:rFonts w:ascii="Times New Roman" w:hAnsi="Times New Roman"/>
          <w:b/>
          <w:i w:val="0"/>
          <w:color w:val="1E293B"/>
          <w:sz w:val="24"/>
        </w:rPr>
        <w:t>4.3 Scalability &amp; Runtime Latency Benchmark</w:t>
      </w:r>
    </w:p>
    <w:p>
      <w:pPr>
        <w:spacing w:before="0" w:after="120" w:line="276" w:lineRule="auto"/>
        <w:jc w:val="both"/>
      </w:pPr>
      <w:r/>
      <w:r>
        <w:rPr>
          <w:rFonts w:ascii="Times New Roman" w:hAnsi="Times New Roman"/>
          <w:b w:val="0"/>
          <w:i w:val="0"/>
          <w:color w:val="1E293B"/>
          <w:sz w:val="22"/>
        </w:rPr>
        <w:t>To analyze the scalability of ResumeX under enterprise loads, execution time benchmarks were captured across varying document token lengths. Table 4 provides the detailed latency breakdown. Even on extensive four-page technical resumes (~4,000 words), total screening latency remained under 50 milliseconds, proving the profound efficiency advantages of classical DSA over resource-intensive deep learning models.</w:t>
      </w:r>
    </w:p>
    <w:p>
      <w:pPr>
        <w:spacing w:before="200" w:after="80" w:line="276" w:lineRule="auto"/>
        <w:jc w:val="left"/>
      </w:pPr>
      <w:r/>
      <w:r>
        <w:rPr>
          <w:rFonts w:ascii="Times New Roman" w:hAnsi="Times New Roman"/>
          <w:b/>
          <w:i w:val="0"/>
          <w:color w:val="0F172A"/>
          <w:sz w:val="20"/>
        </w:rPr>
        <w:t>TABLE 4: Runtime Benchmark &amp; Algorithmic Complexity Across Document Sizes</w:t>
      </w:r>
    </w:p>
    <w:tbl>
      <w:tblPr>
        <w:tblW w:type="auto" w:w="0"/>
        <w:jc w:val="center"/>
        <w:tblLook w:firstColumn="1" w:firstRow="1" w:lastColumn="0" w:lastRow="0" w:noHBand="0" w:noVBand="1" w:val="04A0"/>
      </w:tblPr>
      <w:tblGrid>
        <w:gridCol w:w="2523"/>
        <w:gridCol w:w="2523"/>
        <w:gridCol w:w="2523"/>
        <w:gridCol w:w="2523"/>
      </w:tblGrid>
      <w:tr>
        <w:tc>
          <w:tcPr>
            <w:tcW w:type="dxa" w:w="2592"/>
            <w:vAlign w:val="center"/>
            <w:tcMar>
              <w:top w:w="120" w:type="dxa"/>
              <w:bottom w:w="120" w:type="dxa"/>
              <w:left w:w="140" w:type="dxa"/>
              <w:right w:w="140" w:type="dxa"/>
            </w:tcMar>
            <w:shd w:val="clear" w:color="auto" w:fill="0F172A"/>
          </w:tcPr>
          <w:p>
            <w:pPr>
              <w:spacing w:before="40" w:after="40"/>
              <w:jc w:val="left"/>
            </w:pPr>
            <w:r/>
            <w:r>
              <w:rPr>
                <w:rFonts w:ascii="Times New Roman" w:hAnsi="Times New Roman"/>
                <w:b/>
                <w:i w:val="0"/>
                <w:color w:val="FFFFFF"/>
                <w:sz w:val="20"/>
              </w:rPr>
              <w:t>Algorithmic Stage</w:t>
            </w:r>
          </w:p>
        </w:tc>
        <w:tc>
          <w:tcPr>
            <w:tcW w:type="dxa" w:w="2016"/>
            <w:vAlign w:val="center"/>
            <w:tcMar>
              <w:top w:w="120" w:type="dxa"/>
              <w:bottom w:w="120" w:type="dxa"/>
              <w:left w:w="140" w:type="dxa"/>
              <w:right w:w="140" w:type="dxa"/>
            </w:tcMar>
            <w:shd w:val="clear" w:color="auto" w:fill="0F172A"/>
          </w:tcPr>
          <w:p>
            <w:pPr>
              <w:spacing w:before="40" w:after="40"/>
              <w:jc w:val="left"/>
            </w:pPr>
            <w:r/>
            <w:r>
              <w:rPr>
                <w:rFonts w:ascii="Times New Roman" w:hAnsi="Times New Roman"/>
                <w:b/>
                <w:i w:val="0"/>
                <w:color w:val="FFFFFF"/>
                <w:sz w:val="20"/>
              </w:rPr>
              <w:t>Small (~500 w)</w:t>
            </w:r>
          </w:p>
        </w:tc>
        <w:tc>
          <w:tcPr>
            <w:tcW w:type="dxa" w:w="2160"/>
            <w:vAlign w:val="center"/>
            <w:tcMar>
              <w:top w:w="120" w:type="dxa"/>
              <w:bottom w:w="120" w:type="dxa"/>
              <w:left w:w="140" w:type="dxa"/>
              <w:right w:w="140" w:type="dxa"/>
            </w:tcMar>
            <w:shd w:val="clear" w:color="auto" w:fill="0F172A"/>
          </w:tcPr>
          <w:p>
            <w:pPr>
              <w:spacing w:before="40" w:after="40"/>
              <w:jc w:val="left"/>
            </w:pPr>
            <w:r/>
            <w:r>
              <w:rPr>
                <w:rFonts w:ascii="Times New Roman" w:hAnsi="Times New Roman"/>
                <w:b/>
                <w:i w:val="0"/>
                <w:color w:val="FFFFFF"/>
                <w:sz w:val="20"/>
              </w:rPr>
              <w:t>Medium (~1,500 w)</w:t>
            </w:r>
          </w:p>
        </w:tc>
        <w:tc>
          <w:tcPr>
            <w:tcW w:type="dxa" w:w="2160"/>
            <w:vAlign w:val="center"/>
            <w:tcMar>
              <w:top w:w="120" w:type="dxa"/>
              <w:bottom w:w="120" w:type="dxa"/>
              <w:left w:w="140" w:type="dxa"/>
              <w:right w:w="140" w:type="dxa"/>
            </w:tcMar>
            <w:shd w:val="clear" w:color="auto" w:fill="0F172A"/>
          </w:tcPr>
          <w:p>
            <w:pPr>
              <w:spacing w:before="40" w:after="40"/>
              <w:jc w:val="left"/>
            </w:pPr>
            <w:r/>
            <w:r>
              <w:rPr>
                <w:rFonts w:ascii="Times New Roman" w:hAnsi="Times New Roman"/>
                <w:b/>
                <w:i w:val="0"/>
                <w:color w:val="FFFFFF"/>
                <w:sz w:val="20"/>
              </w:rPr>
              <w:t>Large (~4,000 w)</w:t>
            </w:r>
          </w:p>
        </w:tc>
      </w:tr>
      <w:tr>
        <w:tc>
          <w:tcPr>
            <w:tcW w:type="dxa" w:w="2592"/>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PDF Ingestion (PDFBox)</w:t>
            </w:r>
          </w:p>
        </w:tc>
        <w:tc>
          <w:tcPr>
            <w:tcW w:type="dxa" w:w="2016"/>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4.2 ms</w:t>
            </w:r>
          </w:p>
        </w:tc>
        <w:tc>
          <w:tcPr>
            <w:tcW w:type="dxa" w:w="2160"/>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7.8 ms</w:t>
            </w:r>
          </w:p>
        </w:tc>
        <w:tc>
          <w:tcPr>
            <w:tcW w:type="dxa" w:w="2160"/>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15.6 ms</w:t>
            </w:r>
          </w:p>
        </w:tc>
      </w:tr>
      <w:tr>
        <w:tc>
          <w:tcPr>
            <w:tcW w:type="dxa" w:w="2592"/>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KMP String Matching</w:t>
            </w:r>
          </w:p>
        </w:tc>
        <w:tc>
          <w:tcPr>
            <w:tcW w:type="dxa" w:w="2016"/>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0.4 ms</w:t>
            </w:r>
          </w:p>
        </w:tc>
        <w:tc>
          <w:tcPr>
            <w:tcW w:type="dxa" w:w="2160"/>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0.9 ms</w:t>
            </w:r>
          </w:p>
        </w:tc>
        <w:tc>
          <w:tcPr>
            <w:tcW w:type="dxa" w:w="2160"/>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1.8 ms</w:t>
            </w:r>
          </w:p>
        </w:tc>
      </w:tr>
      <w:tr>
        <w:tc>
          <w:tcPr>
            <w:tcW w:type="dxa" w:w="2592"/>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Levenshtein Distance DP</w:t>
            </w:r>
          </w:p>
        </w:tc>
        <w:tc>
          <w:tcPr>
            <w:tcW w:type="dxa" w:w="2016"/>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1.8 ms</w:t>
            </w:r>
          </w:p>
        </w:tc>
        <w:tc>
          <w:tcPr>
            <w:tcW w:type="dxa" w:w="2160"/>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3.5 ms</w:t>
            </w:r>
          </w:p>
        </w:tc>
        <w:tc>
          <w:tcPr>
            <w:tcW w:type="dxa" w:w="2160"/>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7.2 ms</w:t>
            </w:r>
          </w:p>
        </w:tc>
      </w:tr>
      <w:tr>
        <w:tc>
          <w:tcPr>
            <w:tcW w:type="dxa" w:w="2592"/>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Needleman-Wunsch DP</w:t>
            </w:r>
          </w:p>
        </w:tc>
        <w:tc>
          <w:tcPr>
            <w:tcW w:type="dxa" w:w="2016"/>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2.1 ms</w:t>
            </w:r>
          </w:p>
        </w:tc>
        <w:tc>
          <w:tcPr>
            <w:tcW w:type="dxa" w:w="2160"/>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4.6 ms</w:t>
            </w:r>
          </w:p>
        </w:tc>
        <w:tc>
          <w:tcPr>
            <w:tcW w:type="dxa" w:w="2160"/>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9.4 ms</w:t>
            </w:r>
          </w:p>
        </w:tc>
      </w:tr>
      <w:tr>
        <w:tc>
          <w:tcPr>
            <w:tcW w:type="dxa" w:w="2592"/>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Suffix Array + Kasai LCP</w:t>
            </w:r>
          </w:p>
        </w:tc>
        <w:tc>
          <w:tcPr>
            <w:tcW w:type="dxa" w:w="2016"/>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3.2 ms</w:t>
            </w:r>
          </w:p>
        </w:tc>
        <w:tc>
          <w:tcPr>
            <w:tcW w:type="dxa" w:w="2160"/>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6.8 ms</w:t>
            </w:r>
          </w:p>
        </w:tc>
        <w:tc>
          <w:tcPr>
            <w:tcW w:type="dxa" w:w="2160"/>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14.1 ms</w:t>
            </w:r>
          </w:p>
        </w:tc>
      </w:tr>
      <w:tr>
        <w:tc>
          <w:tcPr>
            <w:tcW w:type="dxa" w:w="2592"/>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SHA-256 Digest</w:t>
            </w:r>
          </w:p>
        </w:tc>
        <w:tc>
          <w:tcPr>
            <w:tcW w:type="dxa" w:w="2016"/>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0.2 ms</w:t>
            </w:r>
          </w:p>
        </w:tc>
        <w:tc>
          <w:tcPr>
            <w:tcW w:type="dxa" w:w="2160"/>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0.3 ms</w:t>
            </w:r>
          </w:p>
        </w:tc>
        <w:tc>
          <w:tcPr>
            <w:tcW w:type="dxa" w:w="2160"/>
            <w:vAlign w:val="center"/>
            <w:tcMar>
              <w:top w:w="120" w:type="dxa"/>
              <w:bottom w:w="120" w:type="dxa"/>
              <w:left w:w="140" w:type="dxa"/>
              <w:right w:w="140" w:type="dxa"/>
            </w:tcMar>
            <w:shd w:val="clear" w:color="auto" w:fill="F8FAFC"/>
          </w:tcPr>
          <w:p>
            <w:pPr>
              <w:spacing w:before="40" w:after="40"/>
              <w:jc w:val="left"/>
            </w:pPr>
            <w:r/>
            <w:r>
              <w:rPr>
                <w:rFonts w:ascii="Times New Roman" w:hAnsi="Times New Roman"/>
                <w:b w:val="0"/>
                <w:i w:val="0"/>
                <w:color w:val="1E293B"/>
                <w:sz w:val="19"/>
              </w:rPr>
              <w:t>0.6 ms</w:t>
            </w:r>
          </w:p>
        </w:tc>
      </w:tr>
      <w:tr>
        <w:tc>
          <w:tcPr>
            <w:tcW w:type="dxa" w:w="2592"/>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Total Pipeline Latency</w:t>
            </w:r>
          </w:p>
        </w:tc>
        <w:tc>
          <w:tcPr>
            <w:tcW w:type="dxa" w:w="2016"/>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12.2 ms</w:t>
            </w:r>
          </w:p>
        </w:tc>
        <w:tc>
          <w:tcPr>
            <w:tcW w:type="dxa" w:w="2160"/>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24.4 ms</w:t>
            </w:r>
          </w:p>
        </w:tc>
        <w:tc>
          <w:tcPr>
            <w:tcW w:type="dxa" w:w="2160"/>
            <w:vAlign w:val="center"/>
            <w:tcMar>
              <w:top w:w="120" w:type="dxa"/>
              <w:bottom w:w="120" w:type="dxa"/>
              <w:left w:w="140" w:type="dxa"/>
              <w:right w:w="140" w:type="dxa"/>
            </w:tcMar>
            <w:shd w:val="clear" w:color="auto" w:fill="FFFFFF"/>
          </w:tcPr>
          <w:p>
            <w:pPr>
              <w:spacing w:before="40" w:after="40"/>
              <w:jc w:val="left"/>
            </w:pPr>
            <w:r/>
            <w:r>
              <w:rPr>
                <w:rFonts w:ascii="Times New Roman" w:hAnsi="Times New Roman"/>
                <w:b w:val="0"/>
                <w:i w:val="0"/>
                <w:color w:val="1E293B"/>
                <w:sz w:val="19"/>
              </w:rPr>
              <w:t>49.6 ms</w:t>
            </w:r>
          </w:p>
        </w:tc>
      </w:tr>
    </w:tbl>
    <w:p>
      <w:pPr>
        <w:spacing w:before="200" w:after="80" w:line="276" w:lineRule="auto"/>
        <w:jc w:val="left"/>
      </w:pPr>
      <w:r/>
      <w:r>
        <w:rPr>
          <w:rFonts w:ascii="Times New Roman" w:hAnsi="Times New Roman"/>
          <w:b/>
          <w:i w:val="0"/>
          <w:color w:val="1E293B"/>
          <w:sz w:val="24"/>
        </w:rPr>
        <w:t>4.4 Duplicate Detection and Anti-Fraud Verification</w:t>
      </w:r>
    </w:p>
    <w:p>
      <w:pPr>
        <w:spacing w:before="0" w:after="120" w:line="276" w:lineRule="auto"/>
        <w:jc w:val="both"/>
      </w:pPr>
      <w:r/>
      <w:r>
        <w:rPr>
          <w:rFonts w:ascii="Times New Roman" w:hAnsi="Times New Roman"/>
          <w:b w:val="0"/>
          <w:i w:val="0"/>
          <w:color w:val="1E293B"/>
          <w:sz w:val="22"/>
        </w:rPr>
        <w:t>During duplicate evaluation testing, the exact duplicate resume (Rahul_Sharma_Duplicate.pdf) was instantaneously recognized via SHA-256 cryptographic hash collision within 0.8 milliseconds, without executing unnecessary downstream parsing. Near-duplicate tests verified that token-level Jaccard similarity accurately flagged updated applicant submissions sharing over 85% of structural content, effectively mitigating applicant spam and multi-agency duplicate submission overheads.</w:t>
      </w:r>
    </w:p>
    <w:p>
      <w:pPr>
        <w:spacing w:before="280" w:after="120" w:line="276" w:lineRule="auto"/>
        <w:jc w:val="left"/>
      </w:pPr>
      <w:r/>
      <w:r>
        <w:rPr>
          <w:rFonts w:ascii="Times New Roman" w:hAnsi="Times New Roman"/>
          <w:b/>
          <w:i w:val="0"/>
          <w:color w:val="0F172A"/>
          <w:sz w:val="28"/>
        </w:rPr>
        <w:t>5. CONCLUSION, DISSEMINATION, AND FUTURE WORK</w:t>
      </w:r>
    </w:p>
    <w:p>
      <w:pPr>
        <w:spacing w:before="200" w:after="80" w:line="276" w:lineRule="auto"/>
        <w:jc w:val="left"/>
      </w:pPr>
      <w:r/>
      <w:r>
        <w:rPr>
          <w:rFonts w:ascii="Times New Roman" w:hAnsi="Times New Roman"/>
          <w:b/>
          <w:i w:val="0"/>
          <w:color w:val="1E293B"/>
          <w:sz w:val="24"/>
        </w:rPr>
        <w:t>5.1 Concluding Remarks</w:t>
      </w:r>
    </w:p>
    <w:p>
      <w:pPr>
        <w:spacing w:before="0" w:after="120" w:line="276" w:lineRule="auto"/>
        <w:jc w:val="both"/>
      </w:pPr>
      <w:r/>
      <w:r>
        <w:rPr>
          <w:rFonts w:ascii="Times New Roman" w:hAnsi="Times New Roman"/>
          <w:b w:val="0"/>
          <w:i w:val="0"/>
          <w:color w:val="1E293B"/>
          <w:sz w:val="22"/>
        </w:rPr>
        <w:t>In this Project-Based Learning project, we designed, implemented, and validated ResumeX, an AI-powered resume screening and candidate ranking system founded strictly on classical Data Structures and Algorithms. By synthesizing Knuth-Morris-Pratt string matching, Levenshtein edit distance dynamic programming, Needleman-Wunsch sequence alignment, Suffix Arrays with Kasai's LCP algorithm, SHA-256 cryptographic hashing, and greedy approximation, ResumeX successfully resolves the fundamental vulnerabilities of commercial ATS platforms: black-box opacity, hallucinations, non-reproducibility, and privacy liabilities.</w:t>
      </w:r>
    </w:p>
    <w:p>
      <w:pPr>
        <w:spacing w:before="200" w:after="80" w:line="276" w:lineRule="auto"/>
        <w:jc w:val="left"/>
      </w:pPr>
      <w:r/>
      <w:r>
        <w:rPr>
          <w:rFonts w:ascii="Times New Roman" w:hAnsi="Times New Roman"/>
          <w:b/>
          <w:i w:val="0"/>
          <w:color w:val="1E293B"/>
          <w:sz w:val="24"/>
        </w:rPr>
        <w:t>5.2 Dissemination and Accessibility: Live Deployment &amp; Open Source</w:t>
      </w:r>
    </w:p>
    <w:p>
      <w:pPr>
        <w:spacing w:before="0" w:after="120" w:line="276" w:lineRule="auto"/>
        <w:jc w:val="both"/>
      </w:pPr>
      <w:r/>
      <w:r>
        <w:rPr>
          <w:rFonts w:ascii="Times New Roman" w:hAnsi="Times New Roman"/>
          <w:b w:val="0"/>
          <w:i w:val="0"/>
          <w:color w:val="1E293B"/>
          <w:sz w:val="22"/>
        </w:rPr>
        <w:t>In full fulfillment of the Review 3 Dissemination and Accessibility mandate, ResumeX has been packaged and published for open access: (1) A production single-page application is deployed live on GitHub Pages (https://pasula-shloka.github.io/ResumeX/), providing an interactive, zero-install recruiter dashboard for candidate evaluation; (2) The complete codebase—encompassing the Java SE backend algorithms, PDFBox parser, and React client—is hosted in an open-source GitHub repository (https://github.com/pasula-shloka/ResumeX) with comprehensive setup instructions; (3) The platform supports dual deployment modes, executing either as a cloud web SPA or as an isolated on-premises Java desktop service operating on port 8080, guaranteeing accessibility across diverse enterprise and academic environments.</w:t>
      </w:r>
    </w:p>
    <w:p>
      <w:pPr>
        <w:spacing w:before="200" w:after="80" w:line="276" w:lineRule="auto"/>
        <w:jc w:val="left"/>
      </w:pPr>
      <w:r/>
      <w:r>
        <w:rPr>
          <w:rFonts w:ascii="Times New Roman" w:hAnsi="Times New Roman"/>
          <w:b/>
          <w:i w:val="0"/>
          <w:color w:val="1E293B"/>
          <w:sz w:val="24"/>
        </w:rPr>
        <w:t>5.3 Future Algorithmic Enhancements</w:t>
      </w:r>
    </w:p>
    <w:p>
      <w:pPr>
        <w:spacing w:before="0" w:after="120" w:line="276" w:lineRule="auto"/>
        <w:jc w:val="both"/>
      </w:pPr>
      <w:r/>
      <w:r>
        <w:rPr>
          <w:rFonts w:ascii="Times New Roman" w:hAnsi="Times New Roman"/>
          <w:b w:val="0"/>
          <w:i w:val="0"/>
          <w:color w:val="1E293B"/>
          <w:sz w:val="22"/>
        </w:rPr>
        <w:t>Future roadmap enhancements for ResumeX include: (1) Integrating the Aho-Corasick multi-pattern trie algorithm to match hundreds of technical keywords simultaneously in a single pass; (2) Incorporating optical character recognition (OCR) via Tesseract for image-based resume scans; (3) Parallelizing batch evaluation across CPU cores utilizing Java Parallel Streams and ForkJoin pools; and (4) Developing role-specific weight configuration presets for diverse technical roles (Frontend, DevOps, Cybersecurity, Data Science).</w:t>
      </w:r>
    </w:p>
    <w:p>
      <w:pPr>
        <w:spacing w:before="280" w:after="120" w:line="276" w:lineRule="auto"/>
        <w:jc w:val="left"/>
      </w:pPr>
      <w:r/>
      <w:r>
        <w:rPr>
          <w:rFonts w:ascii="Times New Roman" w:hAnsi="Times New Roman"/>
          <w:b/>
          <w:i w:val="0"/>
          <w:color w:val="0F172A"/>
          <w:sz w:val="28"/>
        </w:rPr>
        <w:t>REFERENCES</w:t>
      </w:r>
    </w:p>
    <w:p>
      <w:pPr>
        <w:spacing w:before="0" w:after="80" w:line="264" w:lineRule="auto"/>
        <w:jc w:val="both"/>
      </w:pPr>
      <w:r/>
      <w:r>
        <w:rPr>
          <w:rFonts w:ascii="Times New Roman" w:hAnsi="Times New Roman"/>
          <w:b w:val="0"/>
          <w:i w:val="0"/>
          <w:color w:val="1E293B"/>
          <w:sz w:val="20"/>
        </w:rPr>
        <w:t>[1] D. E. Knuth, J. H. Morris, Jr., and V. R. Pratt, 'Fast Pattern Matching in Strings,' SIAM Journal on Computing, vol. 6, no. 2, pp. 323–350, 1977.</w:t>
      </w:r>
    </w:p>
    <w:p>
      <w:pPr>
        <w:spacing w:before="0" w:after="80" w:line="264" w:lineRule="auto"/>
        <w:jc w:val="both"/>
      </w:pPr>
      <w:r/>
      <w:r>
        <w:rPr>
          <w:rFonts w:ascii="Times New Roman" w:hAnsi="Times New Roman"/>
          <w:b w:val="0"/>
          <w:i w:val="0"/>
          <w:color w:val="1E293B"/>
          <w:sz w:val="20"/>
        </w:rPr>
        <w:t>[2] V. I. Levenshtein, 'Binary Codes Capable of Correcting Deletions, Insertions, and Reversals,' Soviet Physics Doklady, vol. 10, no. 8, pp. 707–710, 1966.</w:t>
      </w:r>
    </w:p>
    <w:p>
      <w:pPr>
        <w:spacing w:before="0" w:after="80" w:line="264" w:lineRule="auto"/>
        <w:jc w:val="both"/>
      </w:pPr>
      <w:r/>
      <w:r>
        <w:rPr>
          <w:rFonts w:ascii="Times New Roman" w:hAnsi="Times New Roman"/>
          <w:b w:val="0"/>
          <w:i w:val="0"/>
          <w:color w:val="1E293B"/>
          <w:sz w:val="20"/>
        </w:rPr>
        <w:t>[3] S. B. Needleman and C. D. Wunsch, 'A General Method Applicable to the Search for Similarities in the Amino Acid Sequence of Two Proteins,' Journal of Molecular Biology, vol. 48, no. 3, pp. 443–453, 1970.</w:t>
      </w:r>
    </w:p>
    <w:p>
      <w:pPr>
        <w:spacing w:before="0" w:after="80" w:line="264" w:lineRule="auto"/>
        <w:jc w:val="both"/>
      </w:pPr>
      <w:r/>
      <w:r>
        <w:rPr>
          <w:rFonts w:ascii="Times New Roman" w:hAnsi="Times New Roman"/>
          <w:b w:val="0"/>
          <w:i w:val="0"/>
          <w:color w:val="1E293B"/>
          <w:sz w:val="20"/>
        </w:rPr>
        <w:t>[4] T. Kasai, G. Lee, H. Arimura, S. Arikawa, and K. Park, 'Linear-Time Longest-Common-Prefix Computation in Suffix Arrays and Its Applications,' Proc. 12th Annual Symposium on Combinatorial Pattern Matching (CPM), pp. 181–192, 2001.</w:t>
      </w:r>
    </w:p>
    <w:p>
      <w:pPr>
        <w:spacing w:before="0" w:after="80" w:line="264" w:lineRule="auto"/>
        <w:jc w:val="both"/>
      </w:pPr>
      <w:r/>
      <w:r>
        <w:rPr>
          <w:rFonts w:ascii="Times New Roman" w:hAnsi="Times New Roman"/>
          <w:b w:val="0"/>
          <w:i w:val="0"/>
          <w:color w:val="1E293B"/>
          <w:sz w:val="20"/>
        </w:rPr>
        <w:t>[5] T. H. Cormen, C. E. Leiserson, R. L. Rivest, and C. Stein, Introduction to Algorithms, 4th ed., Cambridge, MA, USA: MIT Press, 2022.</w:t>
      </w:r>
    </w:p>
    <w:p>
      <w:pPr>
        <w:spacing w:before="0" w:after="80" w:line="264" w:lineRule="auto"/>
        <w:jc w:val="both"/>
      </w:pPr>
      <w:r/>
      <w:r>
        <w:rPr>
          <w:rFonts w:ascii="Times New Roman" w:hAnsi="Times New Roman"/>
          <w:b w:val="0"/>
          <w:i w:val="0"/>
          <w:color w:val="1E293B"/>
          <w:sz w:val="20"/>
        </w:rPr>
        <w:t>[6] Apache Software Foundation, 'Apache PDFBox: A Java PDF Library,' Version 3.0.8, 2024. [Online]. Available: https://pdfbox.apache.org/</w:t>
      </w:r>
    </w:p>
    <w:p>
      <w:pPr>
        <w:spacing w:before="0" w:after="80" w:line="264" w:lineRule="auto"/>
        <w:jc w:val="both"/>
      </w:pPr>
      <w:r/>
      <w:r>
        <w:rPr>
          <w:rFonts w:ascii="Times New Roman" w:hAnsi="Times New Roman"/>
          <w:b w:val="0"/>
          <w:i w:val="0"/>
          <w:color w:val="1E293B"/>
          <w:sz w:val="20"/>
        </w:rPr>
        <w:t>[7] C. D. Manning, P. Raghavan, and H. Schütze, Introduction to Information Retrieval, Cambridge, UK: Cambridge University Press, 2008.</w:t>
      </w:r>
    </w:p>
    <w:p>
      <w:pPr>
        <w:spacing w:before="0" w:after="80" w:line="264" w:lineRule="auto"/>
        <w:jc w:val="both"/>
      </w:pPr>
      <w:r/>
      <w:r>
        <w:rPr>
          <w:rFonts w:ascii="Times New Roman" w:hAnsi="Times New Roman"/>
          <w:b w:val="0"/>
          <w:i w:val="0"/>
          <w:color w:val="1E293B"/>
          <w:sz w:val="20"/>
        </w:rPr>
        <w:t>[8] U. Manber and G. Myers, 'Suffix Arrays: A New Method for On-Line String Searches,' SIAM Journal on Computing, vol. 22, no. 5, pp. 935–948, 1993.</w:t>
      </w: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DDA4" w14:textId="77777777" w:rsidR="00A14AF2" w:rsidRDefault="00A14AF2" w:rsidP="001A3B3D">
      <w:r>
        <w:separator/>
      </w:r>
    </w:p>
  </w:endnote>
  <w:endnote w:type="continuationSeparator" w:id="0">
    <w:p w14:paraId="154376F0" w14:textId="77777777" w:rsidR="00A14AF2" w:rsidRDefault="00A14AF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C6854" w14:textId="77777777" w:rsidR="00A14AF2" w:rsidRDefault="00A14AF2" w:rsidP="001A3B3D">
      <w:r>
        <w:separator/>
      </w:r>
    </w:p>
  </w:footnote>
  <w:footnote w:type="continuationSeparator" w:id="0">
    <w:p w14:paraId="1ACFA7B2" w14:textId="77777777" w:rsidR="00A14AF2" w:rsidRDefault="00A14AF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sudharsana Rao</cp:lastModifiedBy>
  <cp:revision>14</cp:revision>
  <dcterms:created xsi:type="dcterms:W3CDTF">2023-10-29T09:31:00Z</dcterms:created>
  <dcterms:modified xsi:type="dcterms:W3CDTF">2025-02-07T04:37:00Z</dcterms:modified>
</cp:coreProperties>
</file>