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r>
        <w:t xml:space="preserve">                    DBIZLABS PRIVATE LIMITED</w:t>
      </w:r>
    </w:p>
    <w:p>
      <w:r>
        <w:t xml:space="preserve">              MEETING OF THE BOARD OF DIRECTORS</w:t>
      </w:r>
    </w:p>
    <w:p>
      <w:r>
        <w:t xml:space="preserve">             MINUTES OF THE 48TH REGULAR BOARD MEETING</w:t>
      </w:r>
    </w:p>
    <w:p/>
    <w:p>
      <w:r>
        <w:t>Date:        FRIDAY, 11 SEPTEMBER 2026</w:t>
      </w:r>
    </w:p>
    <w:p>
      <w:r>
        <w:t>Time:        09:00 HOURS SINGAPORE TIME (GMT +08:00)</w:t>
      </w:r>
    </w:p>
    <w:p>
      <w:r>
        <w:t>Venue:       GREAT ROOM, LEVEL 22, MARINA ONE WEST TOWER</w:t>
      </w:r>
    </w:p>
    <w:p>
      <w:r>
        <w:t xml:space="preserve">             10 MARINA BOULEVARD, SINGAPORE 018961</w:t>
      </w:r>
    </w:p>
    <w:p>
      <w:r>
        <w:t>Secretary:   MS. SANGEETHA MURALI, COMPANY SECRETARY</w:t>
      </w:r>
    </w:p>
    <w:p>
      <w:r>
        <w:t>================================================================================</w:t>
      </w:r>
    </w:p>
    <w:p/>
    <w:p>
      <w:r>
        <w:t>PRESENT AND IN ATTENDANCE:</w:t>
      </w:r>
    </w:p>
    <w:p/>
    <w:p>
      <w:r>
        <w:t>MEMBERS OF THE BOARD OF DIRECTORS (Voting Members, Quorum):</w:t>
      </w:r>
    </w:p>
    <w:p>
      <w:r>
        <w:t xml:space="preserve">  1. Dr. Lingeswaran Arunasalam     Chairman of the Board (Independent Director)    Chair</w:t>
      </w:r>
    </w:p>
    <w:p>
      <w:r>
        <w:t xml:space="preserve">  2. Mr. Siva Pasupathi             Chief Executive Officer &amp; Executive Director    Present In-Person</w:t>
      </w:r>
    </w:p>
    <w:p>
      <w:r>
        <w:t xml:space="preserve">  3. Ms. Amala Appathurai           Chief Technology Officer &amp; Executive Director   Present In-Person</w:t>
      </w:r>
    </w:p>
    <w:p>
      <w:r>
        <w:t xml:space="preserve">  4. Ms. Karthiga Rajoo             Chief Financial Officer &amp; Executive Director    Present In-Person</w:t>
      </w:r>
    </w:p>
    <w:p>
      <w:r>
        <w:t xml:space="preserve">  5. Ms. Divya Muthu                Chief Operating Officer &amp; Executive Director    Present In-Person</w:t>
      </w:r>
    </w:p>
    <w:p>
      <w:r>
        <w:t xml:space="preserve">  6. Ms. Narmadha Sivakumar         Chief Product Officer &amp; Executive Director      Present In-Person</w:t>
      </w:r>
    </w:p>
    <w:p>
      <w:r>
        <w:t xml:space="preserve">  7. Ms. Nandhini Sivakumar         Independent Director                             Present In-Person</w:t>
      </w:r>
    </w:p>
    <w:p/>
    <w:p>
      <w:r>
        <w:t>OBSERVERS IN ATTENDANCE (Non-Voting, Invited):</w:t>
      </w:r>
    </w:p>
    <w:p>
      <w:pPr>
        <w:pStyle w:val="ListBullet"/>
      </w:pPr>
      <w:r>
        <w:t>Mr. Santhana Krishnan          Head of Legal &amp; Data Protection Officer          Present In-Person</w:t>
      </w:r>
    </w:p>
    <w:p>
      <w:pPr>
        <w:pStyle w:val="ListBullet"/>
      </w:pPr>
      <w:r>
        <w:t>Ms. Priya Venkatesh            Head of Internal Audit &amp; Risk Compliance         Present In-Person</w:t>
      </w:r>
    </w:p>
    <w:p/>
    <w:p>
      <w:r>
        <w:t>IN ATTENDANCE BY INVITATION FOR SPECIFIC AGENDA ITEMS:</w:t>
      </w:r>
    </w:p>
    <w:p>
      <w:pPr>
        <w:pStyle w:val="ListBullet"/>
      </w:pPr>
      <w:r>
        <w:t>(Not applicable for this meeting; all observers present throughout)</w:t>
      </w:r>
    </w:p>
    <w:p/>
    <w:p>
      <w:r>
        <w:t>SECRETARY:</w:t>
      </w:r>
    </w:p>
    <w:p>
      <w:pPr>
        <w:pStyle w:val="ListBullet"/>
      </w:pPr>
      <w:r>
        <w:t>Ms. Sangeetha Murali            Company Secretary, Rajah &amp; Tann LLP              Present In-Person</w:t>
      </w:r>
    </w:p>
    <w:p/>
    <w:p>
      <w:r>
        <w:t>APOLOGIES FOR ABSENCE:</w:t>
      </w:r>
    </w:p>
    <w:p>
      <w:pPr>
        <w:pStyle w:val="ListBullet"/>
      </w:pPr>
      <w:r>
        <w:t>Nil. All seven Directors confirmed attendance.</w:t>
      </w:r>
    </w:p>
    <w:p/>
    <w:p>
      <w:r>
        <w:t>QUORUM: 7 out of 7 Directors are present. QUORUM IS DULY CONSTITUTED (quorum</w:t>
      </w:r>
    </w:p>
    <w:p>
      <w:r>
        <w:t>required = majority of Directors, minimum 4 per Article 63 of the Company's</w:t>
      </w:r>
    </w:p>
    <w:p>
      <w:r>
        <w:t>Constitution).</w:t>
      </w:r>
    </w:p>
    <w:p/>
    <w:p>
      <w:r>
        <w:t>================================================================================</w:t>
      </w:r>
    </w:p>
    <w:p>
      <w:r>
        <w:t>AGENDA AND TIMELINE</w:t>
      </w:r>
    </w:p>
    <w:p>
      <w:r>
        <w:t>================================================================================</w:t>
      </w:r>
    </w:p>
    <w:p/>
    <w:p>
      <w:r>
        <w:t>Time        Item                                                        Presenter</w:t>
      </w:r>
    </w:p>
    <w:p>
      <w:r>
        <w:t>09:00–09:03 1. Call to Order, Quorum Confirmation, and Approval of</w:t>
      </w:r>
    </w:p>
    <w:p>
      <w:r>
        <w:t xml:space="preserve">            Meeting Agenda                                              Chairman</w:t>
      </w:r>
    </w:p>
    <w:p>
      <w:r>
        <w:t>09:03–09:10 2. Approval of Minutes of Previous Board Meeting dated</w:t>
      </w:r>
    </w:p>
    <w:p>
      <w:r>
        <w:t xml:space="preserve">            12 June 2026 and Status of Outstanding Action Items         Secretary</w:t>
      </w:r>
    </w:p>
    <w:p>
      <w:r>
        <w:t>09:10–09:35 3. Chief Executive Officer: Strategic Update and Q3</w:t>
      </w:r>
    </w:p>
    <w:p>
      <w:r>
        <w:t xml:space="preserve">            FY2026 Business Performance Review                         CEO</w:t>
      </w:r>
    </w:p>
    <w:p>
      <w:r>
        <w:t>09:35–09:55 4. Chief Financial Officer: Q3 FY2026 Financial Report,</w:t>
      </w:r>
    </w:p>
    <w:p>
      <w:r>
        <w:t xml:space="preserve">            Cash and Liquidity Position, Audit &amp; Tax Matters           CFO</w:t>
      </w:r>
    </w:p>
    <w:p>
      <w:r>
        <w:t>09:55–10:20 5. Chief Technology Officer: R&amp;D Update, AI Platform</w:t>
      </w:r>
    </w:p>
    <w:p>
      <w:r>
        <w:t xml:space="preserve">            Roadmap, SOC 2 and Data Residency Programme                CTO</w:t>
      </w:r>
    </w:p>
    <w:p>
      <w:r>
        <w:t>10:20–10:40 6. Chief Product Officer: Product KPIs, NPS Results,</w:t>
      </w:r>
    </w:p>
    <w:p>
      <w:r>
        <w:t xml:space="preserve">            Customer Wins and Roadmap Review                           CPO</w:t>
      </w:r>
    </w:p>
    <w:p>
      <w:r>
        <w:t>10:40–10:55 7. Chief Operating Officer: People &amp; Organisation Update,</w:t>
      </w:r>
    </w:p>
    <w:p>
      <w:r>
        <w:t xml:space="preserve">            Attrition, D&amp;I Metrics, Hiring Progress                    COO</w:t>
      </w:r>
    </w:p>
    <w:p>
      <w:r>
        <w:t>10:55–11:15 8. Head of Internal Audit &amp; Risk: Risk &amp; Compliance</w:t>
      </w:r>
    </w:p>
    <w:p>
      <w:r>
        <w:t xml:space="preserve">            Update — AI Governance Act, DP Audit, Cyber Drill, FX      Head of IA</w:t>
      </w:r>
    </w:p>
    <w:p>
      <w:r>
        <w:t>11:15–11:25 9. Any Other Business (AOB)                                All Directors</w:t>
      </w:r>
    </w:p>
    <w:p>
      <w:r>
        <w:t>11:25–11:27 10. Confirmation of Date of Next Board Meeting             Chairman</w:t>
      </w:r>
    </w:p>
    <w:p>
      <w:r>
        <w:t>11:27–11:28 11. Adjournment                                            Chairman</w:t>
      </w:r>
    </w:p>
    <w:p/>
    <w:p>
      <w:r>
        <w:t>================================================================================</w:t>
      </w:r>
    </w:p>
    <w:p>
      <w:r>
        <w:t>ITEM 1: CALL TO ORDER, QUORUM AND AGENDA APPROVAL (09:00–09:03)</w:t>
      </w:r>
    </w:p>
    <w:p>
      <w:r>
        <w:t>================================================================================</w:t>
      </w:r>
    </w:p>
    <w:p/>
    <w:p>
      <w:r>
        <w:t>The Chairman, Dr. Lingeswaran Arunasalam, called the 48th Regular Meeting of</w:t>
      </w:r>
    </w:p>
    <w:p>
      <w:r>
        <w:t>the Board of Directors of DBizLabs Private Limited to order at 09:00 hours</w:t>
      </w:r>
    </w:p>
    <w:p>
      <w:r>
        <w:t>SGT on Friday, 11 September 2026 in the Great Room, Level 22, Marina One</w:t>
      </w:r>
    </w:p>
    <w:p>
      <w:r>
        <w:t>West Tower.</w:t>
      </w:r>
    </w:p>
    <w:p/>
    <w:p>
      <w:r>
        <w:t>The Chairman welcomed all Directors, the invited observers, and the</w:t>
      </w:r>
    </w:p>
    <w:p>
      <w:r>
        <w:t>Company Secretary. He noted that this was the first Board meeting since the</w:t>
      </w:r>
    </w:p>
    <w:p>
      <w:r>
        <w:t>successful close of Q3 FY2026, which had been an exceptionally strong</w:t>
      </w:r>
    </w:p>
    <w:p>
      <w:r>
        <w:t>quarter across all metrics, and thanked the Executive team and every</w:t>
      </w:r>
    </w:p>
    <w:p>
      <w:r>
        <w:t>DBizLabs employee for delivering the results.</w:t>
      </w:r>
    </w:p>
    <w:p/>
    <w:p>
      <w:r>
        <w:t>Quorum: The Secretary confirmed that seven (7) out of seven (7) Directors</w:t>
      </w:r>
    </w:p>
    <w:p>
      <w:r>
        <w:t>were in attendance, exceeding the quorum of four (4) Directors required by</w:t>
      </w:r>
    </w:p>
    <w:p>
      <w:r>
        <w:t>the Company Constitution. The quorum was declared by the Chairman as duly</w:t>
      </w:r>
    </w:p>
    <w:p>
      <w:r>
        <w:t>constituted and valid.</w:t>
      </w:r>
    </w:p>
    <w:p/>
    <w:p>
      <w:r>
        <w:t>The Chairman proposed the circulated meeting agenda for formal approval by</w:t>
      </w:r>
    </w:p>
    <w:p>
      <w:r>
        <w:t>the Board.</w:t>
      </w:r>
    </w:p>
    <w:p/>
    <w:p>
      <w:r>
        <w:t>UNANIMOUS BOARD RESOLUTION B-48-01:</w:t>
      </w:r>
    </w:p>
    <w:p>
      <w:r>
        <w:t xml:space="preserve">  RESOLVED THAT the agenda for the 48th Regular Board Meeting, circulated</w:t>
      </w:r>
    </w:p>
    <w:p>
      <w:r>
        <w:t xml:space="preserve">  under cover of the Secretary's memorandum dated 28 August 2026, be and is</w:t>
      </w:r>
    </w:p>
    <w:p>
      <w:r>
        <w:t xml:space="preserve">  hereby approved, with no additions, amendments, or deletions.</w:t>
      </w:r>
    </w:p>
    <w:p/>
    <w:p>
      <w:r>
        <w:t>Voting on Resolution B-48-01: 7 in favour, 0 against, 0 abstentions.</w:t>
      </w:r>
    </w:p>
    <w:p>
      <w:r>
        <w:t>CARRIED UNANIMOUSLY.</w:t>
      </w:r>
    </w:p>
    <w:p/>
    <w:p>
      <w:r>
        <w:t>Conflict of Interest Declarations: The Chairman asked all Directors to</w:t>
      </w:r>
    </w:p>
    <w:p>
      <w:r>
        <w:t>declare any direct or indirect interest in any of the business to be</w:t>
      </w:r>
    </w:p>
    <w:p>
      <w:r>
        <w:t>transacted at this meeting. After a short pause, the following declarations</w:t>
      </w:r>
    </w:p>
    <w:p>
      <w:r>
        <w:t>were noted and recorded in the Register of Directors' Interests maintained</w:t>
      </w:r>
    </w:p>
    <w:p>
      <w:r>
        <w:t>by the Secretary:</w:t>
      </w:r>
    </w:p>
    <w:p>
      <w:pPr>
        <w:pStyle w:val="ListBullet"/>
      </w:pPr>
      <w:r>
        <w:t>Dr. Lingeswaran Arunasalam declared a non-material indirect interest</w:t>
      </w:r>
    </w:p>
    <w:p>
      <w:r>
        <w:t xml:space="preserve">    in Item 9 (Temasek Holdings meeting) in his capacity as an external</w:t>
      </w:r>
    </w:p>
    <w:p>
      <w:r>
        <w:t xml:space="preserve">    advisor to a Temasek portfolio company in the medtech space; confirmed</w:t>
      </w:r>
    </w:p>
    <w:p>
      <w:r>
        <w:t xml:space="preserve">    that the interest was sufficiently remote that he would not recuse</w:t>
      </w:r>
    </w:p>
    <w:p>
      <w:r>
        <w:t xml:space="preserve">    himself from discussion or voting.</w:t>
      </w:r>
    </w:p>
    <w:p>
      <w:pPr>
        <w:pStyle w:val="ListBullet"/>
      </w:pPr>
      <w:r>
        <w:t>Ms. Nandhini Sivakumar declared that her sister is an employee of</w:t>
      </w:r>
    </w:p>
    <w:p>
      <w:r>
        <w:t xml:space="preserve">    KPMG Singapore; the KPMG audit rotation matter was noted under Item 4</w:t>
      </w:r>
    </w:p>
    <w:p>
      <w:r>
        <w:t xml:space="preserve">    and she confirmed she would recuse herself from voting on Resolution</w:t>
      </w:r>
    </w:p>
    <w:p>
      <w:r>
        <w:t xml:space="preserve">    B-48-05 (auditor appointment) to avoid appearance of conflict.</w:t>
      </w:r>
    </w:p>
    <w:p/>
    <w:p>
      <w:r>
        <w:t>All other Directors declared no interest in any item of business.</w:t>
      </w:r>
    </w:p>
    <w:p/>
    <w:p>
      <w:r>
        <w:t>================================================================================</w:t>
      </w:r>
    </w:p>
    <w:p>
      <w:r>
        <w:t>ITEM 2: APPROVAL OF MINUTES OF PREVIOUS MEETING AND ACTION ITEM STATUS</w:t>
      </w:r>
    </w:p>
    <w:p>
      <w:r>
        <w:t>(09:03–09:10)</w:t>
      </w:r>
    </w:p>
    <w:p>
      <w:r>
        <w:t>================================================================================</w:t>
      </w:r>
    </w:p>
    <w:p/>
    <w:p>
      <w:r>
        <w:t>The Secretary, Ms. Sangeetha Murali, tabled the draft Minutes of the 47th</w:t>
      </w:r>
    </w:p>
    <w:p>
      <w:r>
        <w:t>Regular Board Meeting held on Thursday, 12 June 2026, which had previously</w:t>
      </w:r>
    </w:p>
    <w:p>
      <w:r>
        <w:t>been circulated to all Directors under cover of the Board Pack (Tab B).</w:t>
      </w:r>
    </w:p>
    <w:p/>
    <w:p>
      <w:r>
        <w:t>Directors were asked to raise any corrections, amendments, or queries.</w:t>
      </w:r>
    </w:p>
    <w:p>
      <w:r>
        <w:t>Director Narmadha Sivakumar noted that Action Item 47-07 (Product roadmap</w:t>
      </w:r>
    </w:p>
    <w:p>
      <w:r>
        <w:t>prioritisation workshop with Engineering) had been incorrectly recorded as</w:t>
      </w:r>
    </w:p>
    <w:p>
      <w:r>
        <w:t>led by the CTO; she clarified that the workshop had been co-chaired by</w:t>
      </w:r>
    </w:p>
    <w:p>
      <w:r>
        <w:t>herself (CPO) and the CTO. The correction was accepted by the Secretary.</w:t>
      </w:r>
    </w:p>
    <w:p>
      <w:r>
        <w:t>No other amendments were proposed.</w:t>
      </w:r>
    </w:p>
    <w:p/>
    <w:p>
      <w:r>
        <w:t>UNANIMOUS BOARD RESOLUTION B-48-02:</w:t>
      </w:r>
    </w:p>
    <w:p>
      <w:r>
        <w:t xml:space="preserve">  RESOLVED THAT the Minutes of the 47th Regular Board Meeting dated 12 June</w:t>
      </w:r>
    </w:p>
    <w:p>
      <w:r>
        <w:t xml:space="preserve">  2026, as amended with the correction to Action Item 47-07 ownership, be</w:t>
      </w:r>
    </w:p>
    <w:p>
      <w:r>
        <w:t xml:space="preserve">  and are hereby approved as a true and correct record of the proceedings</w:t>
      </w:r>
    </w:p>
    <w:p>
      <w:r>
        <w:t xml:space="preserve">  at that meeting, and the Chairman is hereby authorised to sign the final</w:t>
      </w:r>
    </w:p>
    <w:p>
      <w:r>
        <w:t xml:space="preserve">  Minutes accordingly.</w:t>
      </w:r>
    </w:p>
    <w:p/>
    <w:p>
      <w:r>
        <w:t>Voting: 7 in favour, 0 against, 0 abstentions. CARRIED UNANIMOUSLY (7-0).</w:t>
      </w:r>
    </w:p>
    <w:p/>
    <w:p>
      <w:r>
        <w:t>Status of Action Items from the 12 June 2026 Meeting (Tab B, Annex 1):</w:t>
      </w:r>
    </w:p>
    <w:p/>
    <w:p>
      <w:r>
        <w:t>The Secretary tabled the status of the 11 outstanding action items from the</w:t>
      </w:r>
    </w:p>
    <w:p>
      <w:r>
        <w:t>previous meeting. Summary status:</w:t>
      </w:r>
    </w:p>
    <w:p/>
    <w:p>
      <w:r>
        <w:t xml:space="preserve">  47-01   CFO   Finalise Series B investment agreement documentation.</w:t>
      </w:r>
    </w:p>
    <w:p>
      <w:r>
        <w:t xml:space="preserve">                CLOSED 3 Jul 2026. All documents executed; funds drawn.</w:t>
      </w:r>
    </w:p>
    <w:p>
      <w:r>
        <w:t xml:space="preserve">  47-02   CTO   Complete Playwright web-loader beta rollout across all</w:t>
      </w:r>
    </w:p>
    <w:p>
      <w:r>
        <w:t xml:space="preserve">                ingestion pipelines.</w:t>
      </w:r>
    </w:p>
    <w:p>
      <w:r>
        <w:t xml:space="preserve">                CLOSED 23 Aug 2026. Rollout completed 100%.</w:t>
      </w:r>
    </w:p>
    <w:p>
      <w:r>
        <w:t xml:space="preserve">  47-03   CEO   Sign non-binding term sheet with Meiji Japan joint</w:t>
      </w:r>
    </w:p>
    <w:p>
      <w:r>
        <w:t xml:space="preserve">                venture counterparty.</w:t>
      </w:r>
    </w:p>
    <w:p>
      <w:r>
        <w:t xml:space="preserve">                CLOSED 3 Sep 2026. Term sheet signed 3 September.</w:t>
      </w:r>
    </w:p>
    <w:p>
      <w:r>
        <w:t xml:space="preserve">  47-04   CPO   Launch G2 Crowd Q3 submission for all three product lines.</w:t>
      </w:r>
    </w:p>
    <w:p>
      <w:r>
        <w:t xml:space="preserve">                CLOSED 15 Aug 2026. Submitted. Leader results received.</w:t>
      </w:r>
    </w:p>
    <w:p>
      <w:r>
        <w:t xml:space="preserve">  47-05   CFO   Establish S$50 million commercial paper shelf programme</w:t>
      </w:r>
    </w:p>
    <w:p>
      <w:r>
        <w:t xml:space="preserve">                with DBS, OCBC, UOB.</w:t>
      </w:r>
    </w:p>
    <w:p>
      <w:r>
        <w:t xml:space="preserve">                CLOSED 29 Jul 2026. Shelf fully executed, undrawn.</w:t>
      </w:r>
    </w:p>
    <w:p>
      <w:r>
        <w:t xml:space="preserve">  47-06   COO   Complete FY2026 Q2 attrition root-cause analysis report.</w:t>
      </w:r>
    </w:p>
    <w:p>
      <w:r>
        <w:t xml:space="preserve">                CLOSED 22 Jul 2026. Report distributed to RemCo on 23 Jul.</w:t>
      </w:r>
    </w:p>
    <w:p>
      <w:r>
        <w:t xml:space="preserve">  47-07   CPO/  Conduct product roadmap prioritisation workshop with</w:t>
      </w:r>
    </w:p>
    <w:p>
      <w:r>
        <w:t xml:space="preserve">        CTO     Engineering and Sales leadership.</w:t>
      </w:r>
    </w:p>
    <w:p>
      <w:r>
        <w:t xml:space="preserve">                CLOSED 8 Aug 2026. Output: Q4 roadmap finalised and</w:t>
      </w:r>
    </w:p>
    <w:p>
      <w:r>
        <w:t xml:space="preserve">                published internally 11 Aug 2026.</w:t>
      </w:r>
    </w:p>
    <w:p>
      <w:r>
        <w:t xml:space="preserve">  47-08   LEGAL Submit R&amp;D tax incentive claim for FY2025 basis period to</w:t>
      </w:r>
    </w:p>
    <w:p>
      <w:r>
        <w:t xml:space="preserve">                IRAS.</w:t>
      </w:r>
    </w:p>
    <w:p>
      <w:r>
        <w:t xml:space="preserve">                IN PROGRESS. Deadline 30 Sep 2026. 95% complete. Final</w:t>
      </w:r>
    </w:p>
    <w:p>
      <w:r>
        <w:t xml:space="preserve">                QC review with EY advisor scheduled for 24 Sep 2026.</w:t>
      </w:r>
    </w:p>
    <w:p>
      <w:r>
        <w:t xml:space="preserve">                Owner confirms on track.</w:t>
      </w:r>
    </w:p>
    <w:p>
      <w:r>
        <w:t xml:space="preserve">  47-09   IA    Conduct SG AI Governance Act gap analysis and initial</w:t>
      </w:r>
    </w:p>
    <w:p>
      <w:r>
        <w:t xml:space="preserve">                impact assessment.</w:t>
      </w:r>
    </w:p>
    <w:p>
      <w:r>
        <w:t xml:space="preserve">                IN PROGRESS. Phase 1 report tabled under Item 8 today.</w:t>
      </w:r>
    </w:p>
    <w:p>
      <w:r>
        <w:t xml:space="preserve">                Phase 2 remediation plan target: 31 Oct 2026.</w:t>
      </w:r>
    </w:p>
    <w:p>
      <w:r>
        <w:t xml:space="preserve">  47-10   CTO   Kick-off SOC 2 Type II readiness project with Schellman</w:t>
      </w:r>
    </w:p>
    <w:p>
      <w:r>
        <w:t xml:space="preserve">                assessors.</w:t>
      </w:r>
    </w:p>
    <w:p>
      <w:r>
        <w:t xml:space="preserve">                IN PROGRESS. Kick-off meeting confirmed 14 Oct 2026.</w:t>
      </w:r>
    </w:p>
    <w:p>
      <w:r>
        <w:t xml:space="preserve">                Pre-readiness questionnaire 80% complete.</w:t>
      </w:r>
    </w:p>
    <w:p>
      <w:r>
        <w:t xml:space="preserve">  47-11   CEO   Initiate FY2027 budget and long-range planning process.</w:t>
      </w:r>
    </w:p>
    <w:p>
      <w:r>
        <w:t xml:space="preserve">                ON TRACK. Kick-off memo distributed to ELT 1 Sep 2026.</w:t>
      </w:r>
    </w:p>
    <w:p>
      <w:r>
        <w:t xml:space="preserve">                First budget reviews: 25 Sep and 2 Oct 2026.</w:t>
      </w:r>
    </w:p>
    <w:p/>
    <w:p>
      <w:r>
        <w:t>Summary: 8 of 11 action items from 12 June 2026 meeting are CLOSED. The 3</w:t>
      </w:r>
    </w:p>
    <w:p>
      <w:r>
        <w:t>remaining items are ON TRACK and within their respective deadlines. No</w:t>
      </w:r>
    </w:p>
    <w:p>
      <w:r>
        <w:t>action items are at risk or overdue. The Board expressed satisfaction with</w:t>
      </w:r>
    </w:p>
    <w:p>
      <w:r>
        <w:t>the close-out rate.</w:t>
      </w:r>
    </w:p>
    <w:p/>
    <w:p>
      <w:r>
        <w:t>================================================================================</w:t>
      </w:r>
    </w:p>
    <w:p>
      <w:r>
        <w:t>ITEM 3: CHIEF EXECUTIVE OFFICER STRATEGIC UPDATE (09:10–09:35)</w:t>
      </w:r>
    </w:p>
    <w:p>
      <w:r>
        <w:t>================================================================================</w:t>
      </w:r>
    </w:p>
    <w:p/>
    <w:p>
      <w:r>
        <w:t>Mr. Siva Pasupathi, Chief Executive Officer, delivered the strategic</w:t>
      </w:r>
    </w:p>
    <w:p>
      <w:r>
        <w:t>update, referencing Board Pack Tab C (CEO Q3 FY2026 Strategy Deck, 38</w:t>
      </w:r>
    </w:p>
    <w:p>
      <w:r>
        <w:t>slides). The full slide deck is appended to the minutes as Annex C and</w:t>
      </w:r>
    </w:p>
    <w:p>
      <w:r>
        <w:t>maintained with the Company's statutory records.</w:t>
      </w:r>
    </w:p>
    <w:p/>
    <w:p>
      <w:r>
        <w:t>3.1 Q3 FY2026 Performance Headlines</w:t>
      </w:r>
    </w:p>
    <w:p>
      <w:r>
        <w:t>The CEO began by reiterating the headline Q3 performance. Total revenue for</w:t>
      </w:r>
    </w:p>
    <w:p>
      <w:r>
        <w:t>the quarter ended 30 September 2026 was S$18.42 million, representing</w:t>
      </w:r>
    </w:p>
    <w:p>
      <w:r>
        <w:t>28.6% year-over-year growth, exceeding the mid-point of the Board-approved</w:t>
      </w:r>
    </w:p>
    <w:p>
      <w:r>
        <w:t>Q3 guidance range of S$17.6–18.6 million. Year-to-date 9M FY2026 revenue</w:t>
      </w:r>
    </w:p>
    <w:p>
      <w:r>
        <w:t>was S$50.81 million (+26.7% YoY), tracking 102.3% of internal plan.</w:t>
      </w:r>
    </w:p>
    <w:p/>
    <w:p>
      <w:r>
        <w:t>The CEO noted that all three product lines had delivered or exceeded</w:t>
      </w:r>
    </w:p>
    <w:p>
      <w:r>
        <w:t>targets: Meiji MES at 103% of quarterly quota, Bond Copilot at 112%, and</w:t>
      </w:r>
    </w:p>
    <w:p>
      <w:r>
        <w:t>Hirethm at 105%. Net new ARR of S$6.34 million was the second highest in</w:t>
      </w:r>
    </w:p>
    <w:p>
      <w:r>
        <w:t>the company's history, behind only Q4 FY2025's record S$7.08 million.</w:t>
      </w:r>
    </w:p>
    <w:p/>
    <w:p>
      <w:r>
        <w:t>3.2 Meiji Japan Joint Venture — Term Sheet Signed</w:t>
      </w:r>
    </w:p>
    <w:p>
      <w:r>
        <w:t>The CEO highlighted that the Meiji Japan joint venture non-binding term</w:t>
      </w:r>
    </w:p>
    <w:p>
      <w:r>
        <w:t>sheet was signed on 3 September 2026, closing out Action Item 47-03.</w:t>
      </w:r>
    </w:p>
    <w:p>
      <w:r>
        <w:t>Under the proposed terms (Tab C, Slide 16), DBizLabs will contribute</w:t>
      </w:r>
    </w:p>
    <w:p>
      <w:r>
        <w:t>intellectual property license to the Meiji MES platform and its local</w:t>
      </w:r>
    </w:p>
    <w:p>
      <w:r>
        <w:t>Japan go-to-market team, while Meiji Seika Kaisha (the counterparty) will</w:t>
      </w:r>
    </w:p>
    <w:p>
      <w:r>
        <w:t>contribute manufacturing domain expertise, existing customer relationships</w:t>
      </w:r>
    </w:p>
    <w:p>
      <w:r>
        <w:t>across the Meiji group of companies, and a 60/40 equity split favouring</w:t>
      </w:r>
    </w:p>
    <w:p>
      <w:r>
        <w:t>DBizLabs at 60%. The JV will be domiciled in Tokyo with a JPY 500 million</w:t>
      </w:r>
    </w:p>
    <w:p>
      <w:r>
        <w:t>initial capitalisation.</w:t>
      </w:r>
    </w:p>
    <w:p/>
    <w:p>
      <w:r>
        <w:t>Key next steps outlined:</w:t>
      </w:r>
    </w:p>
    <w:p>
      <w:pPr>
        <w:pStyle w:val="ListBullet"/>
      </w:pPr>
      <w:r>
        <w:t>Definitive agreements drafting (led by Santhana Krishnan, with</w:t>
      </w:r>
    </w:p>
    <w:p>
      <w:r>
        <w:t xml:space="preserve">    Nishimura &amp; Asahi as Japanese counsel) — target execution 30 Nov 2026</w:t>
      </w:r>
    </w:p>
    <w:p>
      <w:pPr>
        <w:pStyle w:val="ListBullet"/>
      </w:pPr>
      <w:r>
        <w:t>JV Board composition: 3 DBizLabs nominees + 2 Meiji nominees, with</w:t>
      </w:r>
    </w:p>
    <w:p>
      <w:r>
        <w:t xml:space="preserve">    Dr. Lingeswaran Arunasalam proposed as non-executive Chairman of JV</w:t>
      </w:r>
    </w:p>
    <w:p>
      <w:pPr>
        <w:pStyle w:val="ListBullet"/>
      </w:pPr>
      <w:r>
        <w:t>Commercial go-live of JV operations: 1 February 2027 (FY2027 Q3)</w:t>
      </w:r>
    </w:p>
    <w:p/>
    <w:p>
      <w:r>
        <w:t>The CEO noted that the JV was expected to contribute approximately S$2.0–</w:t>
      </w:r>
    </w:p>
    <w:p>
      <w:r>
        <w:t>2.5 million of consolidated revenue in FY2027, growing to S$8–10 million</w:t>
      </w:r>
    </w:p>
    <w:p>
      <w:r>
        <w:t>run-rate by FY2028. This was, however, NOT included in the current Q4</w:t>
      </w:r>
    </w:p>
    <w:p>
      <w:r>
        <w:t>FY2026 guidance; guidance conservatively assumed no JV contribution.</w:t>
      </w:r>
    </w:p>
    <w:p/>
    <w:p>
      <w:r>
        <w:t>Independent Director Nandhini Sivakumar asked whether any competing</w:t>
      </w:r>
    </w:p>
    <w:p>
      <w:r>
        <w:t>industrial MES AI vendors were actively pursuing the Japan market with</w:t>
      </w:r>
    </w:p>
    <w:p>
      <w:r>
        <w:t>local partners. CEO confirmed that two US-based competitors had announced</w:t>
      </w:r>
    </w:p>
    <w:p>
      <w:r>
        <w:t>distributor partnerships but not a full equity JV; the DBizLabs–Meiji</w:t>
      </w:r>
    </w:p>
    <w:p>
      <w:r>
        <w:t>structure was unique in depth of domain integration and commitment of</w:t>
      </w:r>
    </w:p>
    <w:p>
      <w:r>
        <w:t>manufacturing data.</w:t>
      </w:r>
    </w:p>
    <w:p/>
    <w:p>
      <w:r>
        <w:t>3.3 Bond Copilot Enterprise Momentum</w:t>
      </w:r>
    </w:p>
    <w:p>
      <w:r>
        <w:t>Bond Copilot closed Q3 with 8 identifiable enterprise logos with &gt;S$500k</w:t>
      </w:r>
    </w:p>
    <w:p>
      <w:r>
        <w:t>ACV, including three global tier-1 banks headquartered in Singapore,</w:t>
      </w:r>
    </w:p>
    <w:p>
      <w:r>
        <w:t>London, and New York. The CEO highlighted the 18 September 2026 go-live</w:t>
      </w:r>
    </w:p>
    <w:p>
      <w:r>
        <w:t>of a Fortune 500 US pension fund (ACV S$1.96 million) as a notable win,</w:t>
      </w:r>
    </w:p>
    <w:p>
      <w:r>
        <w:t>with the customer having replaced a competing generative-AI solution from</w:t>
      </w:r>
    </w:p>
    <w:p>
      <w:r>
        <w:t>Microsoft after a 6-month side-by-side bake-off. The key differentiators</w:t>
      </w:r>
    </w:p>
    <w:p>
      <w:r>
        <w:t>cited by the customer in their post-win debrief were: Bond Copilot's</w:t>
      </w:r>
    </w:p>
    <w:p>
      <w:r>
        <w:t>citation-grounded answers (faithfulness &gt;92%), the depth of fixed-income</w:t>
      </w:r>
    </w:p>
    <w:p>
      <w:r>
        <w:t>domain-specific RAG training data, and the maturity of the Audit &amp;</w:t>
      </w:r>
    </w:p>
    <w:p>
      <w:r>
        <w:t>Compliance Pack.</w:t>
      </w:r>
    </w:p>
    <w:p/>
    <w:p>
      <w:r>
        <w:t>3.4 Hirethm Public Sector RFP Pipeline</w:t>
      </w:r>
    </w:p>
    <w:p>
      <w:r>
        <w:t>The CEO reported three Hirethm public sector RFPs currently in the final</w:t>
      </w:r>
    </w:p>
    <w:p>
      <w:r>
        <w:t>evaluation stage:</w:t>
      </w:r>
    </w:p>
    <w:p>
      <w:r>
        <w:t xml:space="preserve">  (1) Singapore Public Service Division (PSD), whole-of-government HR</w:t>
      </w:r>
    </w:p>
    <w:p>
      <w:r>
        <w:t xml:space="preserve">      shared services — contract value est. S$4.2 million over 3 years.</w:t>
      </w:r>
    </w:p>
    <w:p>
      <w:r>
        <w:t xml:space="preserve">      Hirethm shortlisted (2 of 6 vendors). Final oral presentation:</w:t>
      </w:r>
    </w:p>
    <w:p>
      <w:r>
        <w:t xml:space="preserve">      22 September 2026.</w:t>
      </w:r>
    </w:p>
    <w:p>
      <w:r>
        <w:t xml:space="preserve">  (2) State Government of Tamil Nadu, Public Service Commission — 2-year</w:t>
      </w:r>
    </w:p>
    <w:p>
      <w:r>
        <w:t xml:space="preserve">      implementation + 3 years operations, S$1.74 million ACV referenced</w:t>
      </w:r>
    </w:p>
    <w:p>
      <w:r>
        <w:t xml:space="preserve">      in the financial report. Award date: 15 October 2026.</w:t>
      </w:r>
    </w:p>
    <w:p>
      <w:r>
        <w:t xml:space="preserve">  (3) Abu Dhabi Department of Health — Healthcare Workforce Management</w:t>
      </w:r>
    </w:p>
    <w:p>
      <w:r>
        <w:t xml:space="preserve">      Platform, est. contract value US$3.4 million over 5 years.</w:t>
      </w:r>
    </w:p>
    <w:p>
      <w:r>
        <w:t xml:space="preserve">      Shortlisted; technical Q&amp;A response submitted late August.</w:t>
      </w:r>
    </w:p>
    <w:p/>
    <w:p>
      <w:r>
        <w:t>3.5 FY2027 Targets — 25% Growth</w:t>
      </w:r>
    </w:p>
    <w:p>
      <w:r>
        <w:t>Finally, the CEO previewed the initial FY2027 targets that would be</w:t>
      </w:r>
    </w:p>
    <w:p>
      <w:r>
        <w:t>further developed in the budget process (Action Item 47-11):</w:t>
      </w:r>
    </w:p>
    <w:p>
      <w:pPr>
        <w:pStyle w:val="ListBullet"/>
      </w:pPr>
      <w:r>
        <w:t>Revenue growth: 25%+ YoY (full year basis)</w:t>
      </w:r>
    </w:p>
    <w:p>
      <w:pPr>
        <w:pStyle w:val="ListBullet"/>
      </w:pPr>
      <w:r>
        <w:t>Gross margin band: 72–74%</w:t>
      </w:r>
    </w:p>
    <w:p>
      <w:pPr>
        <w:pStyle w:val="ListBullet"/>
      </w:pPr>
      <w:r>
        <w:t>Adjusted EBITDA margin: 22–25%</w:t>
      </w:r>
    </w:p>
    <w:p>
      <w:pPr>
        <w:pStyle w:val="ListBullet"/>
      </w:pPr>
      <w:r>
        <w:t>Headcount exit target: 415 FTEs (from 317 at end of Q3 FY2026)</w:t>
      </w:r>
    </w:p>
    <w:p>
      <w:pPr>
        <w:pStyle w:val="ListBullet"/>
      </w:pPr>
      <w:r>
        <w:t>AI-attributed ACV share: 25% of total new ACV</w:t>
      </w:r>
    </w:p>
    <w:p/>
    <w:p>
      <w:r>
        <w:t>The Chairman thanked the CEO for a comprehensive and encouraging update and</w:t>
      </w:r>
    </w:p>
    <w:p>
      <w:r>
        <w:t>opened the floor for brief Director questions before moving to the CFO</w:t>
      </w:r>
    </w:p>
    <w:p>
      <w:r>
        <w:t>report. Dr. Lingeswaran asked specifically about the quality of the Q3</w:t>
      </w:r>
    </w:p>
    <w:p>
      <w:r>
        <w:t>pipeline going into Q4; CEO confirmed that Q4 pipeline coverage was</w:t>
      </w:r>
    </w:p>
    <w:p>
      <w:r>
        <w:t>currently running at 3.4x the mid-point of the S$21.2–22.3m guidance,</w:t>
      </w:r>
    </w:p>
    <w:p>
      <w:r>
        <w:t>which compared favourably to the historical 2.9x coverage at the same</w:t>
      </w:r>
    </w:p>
    <w:p>
      <w:r>
        <w:t>stage of prior Q4s.</w:t>
      </w:r>
    </w:p>
    <w:p/>
    <w:p>
      <w:r>
        <w:t>================================================================================</w:t>
      </w:r>
    </w:p>
    <w:p>
      <w:r>
        <w:t>ITEM 4: CHIEF FINANCIAL OFFICER REPORT (09:35–09:55)</w:t>
      </w:r>
    </w:p>
    <w:p>
      <w:r>
        <w:t>================================================================================</w:t>
      </w:r>
    </w:p>
    <w:p/>
    <w:p>
      <w:r>
        <w:t>Ms. Karthiga Rajoo, Chief Financial Officer, presented the Q3 FY2026</w:t>
      </w:r>
    </w:p>
    <w:p>
      <w:r>
        <w:t>Financial Report (Tab D, 44 pages), Income Statement, Balance Sheet, Cash</w:t>
      </w:r>
    </w:p>
    <w:p>
      <w:r>
        <w:t>Flow Statement, and supporting schedules. The audited Q3 figures and</w:t>
      </w:r>
    </w:p>
    <w:p>
      <w:r>
        <w:t>detailed analysis were also published on 10 October 2026 in the</w:t>
      </w:r>
    </w:p>
    <w:p>
      <w:r>
        <w:t>shareholder Q3 Financial Report (File 1 of this document set).</w:t>
      </w:r>
    </w:p>
    <w:p/>
    <w:p>
      <w:r>
        <w:t>4.1 EBITDA and Profitability</w:t>
      </w:r>
    </w:p>
    <w:p>
      <w:r>
        <w:t>CFO reported EBITDA of S$3.81 million (20.7% margin) versus S$2.52 million</w:t>
      </w:r>
    </w:p>
    <w:p>
      <w:r>
        <w:t>in Q3 FY2025, a 51.2% YoY increase in absolute EBITDA. This significantly</w:t>
      </w:r>
    </w:p>
    <w:p>
      <w:r>
        <w:t>exceeded the Board-approved internal plan for the quarter (EBITDA target</w:t>
      </w:r>
    </w:p>
    <w:p>
      <w:r>
        <w:t>S$3.40 million, 18.5% margin). She credited:</w:t>
      </w:r>
    </w:p>
    <w:p>
      <w:pPr>
        <w:pStyle w:val="ListBullet"/>
      </w:pPr>
      <w:r>
        <w:t>The 180 basis point gross margin expansion to 71.4%</w:t>
      </w:r>
    </w:p>
    <w:p>
      <w:pPr>
        <w:pStyle w:val="ListBullet"/>
      </w:pPr>
      <w:r>
        <w:t>OpEx discipline with opex growing 25.2% vs. revenue growing 28.6%</w:t>
      </w:r>
    </w:p>
    <w:p>
      <w:pPr>
        <w:pStyle w:val="ListBullet"/>
      </w:pPr>
      <w:r>
        <w:t>S$0.34 million of government R&amp;D grants recognised during the quarter</w:t>
      </w:r>
    </w:p>
    <w:p>
      <w:r>
        <w:t xml:space="preserve">    under the SG Tech@DTS scheme</w:t>
      </w:r>
    </w:p>
    <w:p/>
    <w:p>
      <w:r>
        <w:t>Adjusted EBITDA (adding back one-time JV advisory fees of S$0.18 million</w:t>
      </w:r>
    </w:p>
    <w:p>
      <w:r>
        <w:t>and a S$0.09 million legal settlement from a Q2 vendor dispute) was S$4.08</w:t>
      </w:r>
    </w:p>
    <w:p>
      <w:r>
        <w:t>million, or 22.1% of revenue.</w:t>
      </w:r>
    </w:p>
    <w:p/>
    <w:p>
      <w:r>
        <w:t>4.2 Working Capital and DSO</w:t>
      </w:r>
    </w:p>
    <w:p>
      <w:r>
        <w:t>Days Sales Outstanding (DSO) stood at 68 days as of 30 September 2026,</w:t>
      </w:r>
    </w:p>
    <w:p>
      <w:r>
        <w:t>down from 74 days on 30 June 2026 and 79 days on 30 September 2025. The</w:t>
      </w:r>
    </w:p>
    <w:p>
      <w:r>
        <w:t>CFO attributed the improvement to a dedicated collections task force</w:t>
      </w:r>
    </w:p>
    <w:p>
      <w:r>
        <w:t>established under the COO in June, and to increasingly favouring</w:t>
      </w:r>
    </w:p>
    <w:p>
      <w:r>
        <w:t>prepayment terms (0–30 days) for deals in negotiation wherever possible.</w:t>
      </w:r>
    </w:p>
    <w:p>
      <w:r>
        <w:t>She also noted that 5 of the 5 customers who exceeded S$1m ACV in the</w:t>
      </w:r>
    </w:p>
    <w:p>
      <w:r>
        <w:t>quarter had prepaid at least 50% of their annual contract value.</w:t>
      </w:r>
    </w:p>
    <w:p/>
    <w:p>
      <w:r>
        <w:t>Target for Q4 FY2026 was 63–65 days DSO, which would represent a 16-day</w:t>
      </w:r>
    </w:p>
    <w:p>
      <w:r>
        <w:t>YoY reduction. This would translate into approximately S$1.2–1.5 million</w:t>
      </w:r>
    </w:p>
    <w:p>
      <w:r>
        <w:t>of additional operating cash flow in Q4 if achieved.</w:t>
      </w:r>
    </w:p>
    <w:p/>
    <w:p>
      <w:r>
        <w:t>4.3 Cash Position and Series B Runway</w:t>
      </w:r>
    </w:p>
    <w:p>
      <w:r>
        <w:t>Cash and cash equivalents stood at S$23.6 million on 30 September 2026,</w:t>
      </w:r>
    </w:p>
    <w:p>
      <w:r>
        <w:t>up from S$19.4 million at the end of Q2 FY2026.</w:t>
      </w:r>
    </w:p>
    <w:p/>
    <w:p>
      <w:r>
        <w:t>The CFO presented the current "Series B Runway" model (Tab D, Page 39).</w:t>
      </w:r>
    </w:p>
    <w:p>
      <w:r>
        <w:t>Assuming current burn rates, the S$23.6 million of cash plus undrawn</w:t>
      </w:r>
    </w:p>
    <w:p>
      <w:r>
        <w:t>S$50.0 million commercial paper shelf implied a total liquidity runway of</w:t>
      </w:r>
    </w:p>
    <w:p>
      <w:r>
        <w:t>approximately 22 months to 31 July 2028 at the downside case, or 27</w:t>
      </w:r>
    </w:p>
    <w:p>
      <w:r>
        <w:t>months to 31 December 2028 at the base case (25% revenue growth, 22%</w:t>
      </w:r>
    </w:p>
    <w:p>
      <w:r>
        <w:t>EBITDA margin FY2027 onwards). The Board noted that the company was well</w:t>
      </w:r>
    </w:p>
    <w:p>
      <w:r>
        <w:t>capitalised and no further equity fundraising was contemplated in the</w:t>
      </w:r>
    </w:p>
    <w:p>
      <w:r>
        <w:t>next 18 months, barring unforeseen circumstances.</w:t>
      </w:r>
    </w:p>
    <w:p/>
    <w:p>
      <w:r>
        <w:t>4.4 FX Hedging — SGD/USD</w:t>
      </w:r>
    </w:p>
    <w:p>
      <w:r>
        <w:t>The CFO reported that during the quarter the Singapore Dollar had</w:t>
      </w:r>
    </w:p>
    <w:p>
      <w:r>
        <w:t>strengthened +2.3% against the US Dollar (from 0.729 to 0.746), which was</w:t>
      </w:r>
    </w:p>
    <w:p>
      <w:r>
        <w:t>a small net positive of approximately S$0.12 million on reported Q3</w:t>
      </w:r>
    </w:p>
    <w:p>
      <w:r>
        <w:t>revenue. SGD/USD movements were the largest single FX exposure, followed</w:t>
      </w:r>
    </w:p>
    <w:p>
      <w:r>
        <w:t>by EUR/SGD (S$18k/1%).</w:t>
      </w:r>
    </w:p>
    <w:p/>
    <w:p>
      <w:r>
        <w:t>Currently 55% of forecast USD receivables on a rolling 6-month horizon are</w:t>
      </w:r>
    </w:p>
    <w:p>
      <w:r>
        <w:t>hedged via forward contracts, plus S$10 million of option-based collars</w:t>
      </w:r>
    </w:p>
    <w:p>
      <w:r>
        <w:t>protecting below SGD/USD 0.715 or above 0.765. The CFO proposed a modest</w:t>
      </w:r>
    </w:p>
    <w:p>
      <w:r>
        <w:t>increase of the hedge ratio from 55% to 60% effective October 2026, given</w:t>
      </w:r>
    </w:p>
    <w:p>
      <w:r>
        <w:t>the increased USD pipeline in the Americas region. She noted that this</w:t>
      </w:r>
    </w:p>
    <w:p>
      <w:r>
        <w:t>remained well below the Board's authorised maximum hedge ratio of 80% and</w:t>
      </w:r>
    </w:p>
    <w:p>
      <w:r>
        <w:t>was purely risk reduction, not directional positioning.</w:t>
      </w:r>
    </w:p>
    <w:p/>
    <w:p>
      <w:r>
        <w:t>The Board approved, by way of Resolution B-48-03 (taken on a show of</w:t>
      </w:r>
    </w:p>
    <w:p>
      <w:r>
        <w:t>hands), the increase of the FX hedge ratio to 60%.</w:t>
      </w:r>
    </w:p>
    <w:p/>
    <w:p>
      <w:r>
        <w:t>4.5 Commercial Paper Shelf Programme</w:t>
      </w:r>
    </w:p>
    <w:p>
      <w:r>
        <w:t>The CFO confirmed that the S$50.0 million multi-currency commercial paper</w:t>
      </w:r>
    </w:p>
    <w:p>
      <w:r>
        <w:t>shelf programme (Action Item 47-05) had been successfully established on</w:t>
      </w:r>
    </w:p>
    <w:p>
      <w:r>
        <w:t>29 July 2026 with DBS Bank, OCBC Bank, and United Overseas Bank acting as</w:t>
      </w:r>
    </w:p>
    <w:p>
      <w:r>
        <w:t>joint arrangers and dealers. The programme is:</w:t>
      </w:r>
    </w:p>
    <w:p>
      <w:pPr>
        <w:pStyle w:val="ListBullet"/>
      </w:pPr>
      <w:r>
        <w:t>3-year revolving shelf (maturity 29 Jul 2029)</w:t>
      </w:r>
    </w:p>
    <w:p>
      <w:pPr>
        <w:pStyle w:val="ListBullet"/>
      </w:pPr>
      <w:r>
        <w:t>Tenor of individual CP issues: 1 month to 12 months</w:t>
      </w:r>
    </w:p>
    <w:p>
      <w:pPr>
        <w:pStyle w:val="ListBullet"/>
      </w:pPr>
      <w:r>
        <w:t>Borrowing cost: SORA + 78 to 135 bps depending on tenor, credit tier,</w:t>
      </w:r>
    </w:p>
    <w:p>
      <w:r>
        <w:t xml:space="preserve">    and market conditions at issue</w:t>
      </w:r>
    </w:p>
    <w:p>
      <w:pPr>
        <w:pStyle w:val="ListBullet"/>
      </w:pPr>
      <w:r>
        <w:t>Fully undrawn as at 11 September 2026</w:t>
      </w:r>
    </w:p>
    <w:p>
      <w:pPr>
        <w:pStyle w:val="ListBullet"/>
      </w:pPr>
      <w:r>
        <w:t>Covenants: Net gearing &lt; 1.0x, minimum liquidity S$10.0m, interest</w:t>
      </w:r>
    </w:p>
    <w:p>
      <w:r>
        <w:t xml:space="preserve">    cover &gt; 5.0x (all comfortably within current levels)</w:t>
      </w:r>
    </w:p>
    <w:p/>
    <w:p>
      <w:r>
        <w:t>The CFO stated that there were no current plans to draw on the shelf; it</w:t>
      </w:r>
    </w:p>
    <w:p>
      <w:r>
        <w:t>was maintained as a strategic liquidity buffer.</w:t>
      </w:r>
    </w:p>
    <w:p/>
    <w:p>
      <w:r>
        <w:t>4.6 Audit Rotation: KPMG → PwC</w:t>
      </w:r>
    </w:p>
    <w:p>
      <w:r>
        <w:t>As required by the Singapore Companies Act Section 392CA (mandatory audit</w:t>
      </w:r>
    </w:p>
    <w:p>
      <w:r>
        <w:t>firm rotation after 5 consecutive financial years), the term of the</w:t>
      </w:r>
    </w:p>
    <w:p>
      <w:r>
        <w:t>current external auditor KPMG LLP will conclude at the end of the current</w:t>
      </w:r>
    </w:p>
    <w:p>
      <w:r>
        <w:t>financial year ending 30 June 2027 (FY2026).</w:t>
      </w:r>
    </w:p>
    <w:p/>
    <w:p>
      <w:r>
        <w:t>The CFO, on recommendation of the Audit &amp; Risk Committee (which met on</w:t>
      </w:r>
    </w:p>
    <w:p>
      <w:r>
        <w:t>21 August 2026 and again on 5 September 2026), proposed the appointment</w:t>
      </w:r>
    </w:p>
    <w:p>
      <w:r>
        <w:t>of PricewaterhouseCoopers LLP (PwC Singapore) as external auditor for the</w:t>
      </w:r>
    </w:p>
    <w:p>
      <w:r>
        <w:t>financial year ending 30 June 2027 (FY2027), the year ending 30 June 2028</w:t>
      </w:r>
    </w:p>
    <w:p>
      <w:r>
        <w:t>(FY2028), and the year ending 30 June 2029 (FY2029), with the 3 terms to</w:t>
      </w:r>
    </w:p>
    <w:p>
      <w:r>
        <w:t>run consecutively subject to annual reappointment by shareholders at the</w:t>
      </w:r>
    </w:p>
    <w:p>
      <w:r>
        <w:t>AGM.</w:t>
      </w:r>
    </w:p>
    <w:p/>
    <w:p>
      <w:r>
        <w:t>The competitive tender process had shortlisted 3 Big-4 firms (Deloitte,</w:t>
      </w:r>
    </w:p>
    <w:p>
      <w:r>
        <w:t>EY, and PwC). Evaluation criteria and scoring (maximum 100 points):</w:t>
      </w:r>
    </w:p>
    <w:p>
      <w:pPr>
        <w:pStyle w:val="ListBullet"/>
      </w:pPr>
      <w:r>
        <w:t>Technical competence of proposed audit team: 40 points (PwC 37/40)</w:t>
      </w:r>
    </w:p>
    <w:p>
      <w:pPr>
        <w:pStyle w:val="ListBullet"/>
      </w:pPr>
      <w:r>
        <w:t>Industry experience (SaaS, AI, software): 25 points (PwC 23/25)</w:t>
      </w:r>
    </w:p>
    <w:p>
      <w:pPr>
        <w:pStyle w:val="ListBullet"/>
      </w:pPr>
      <w:r>
        <w:t>Proposed fee structure and commercial terms: 20 points (PwC 17/20)</w:t>
      </w:r>
    </w:p>
    <w:p>
      <w:pPr>
        <w:pStyle w:val="ListBullet"/>
      </w:pPr>
      <w:r>
        <w:t>Chemistry with ELT, quality of insights, innovation: 15 points</w:t>
      </w:r>
    </w:p>
    <w:p>
      <w:r>
        <w:t xml:space="preserve">    (PwC 14/15)</w:t>
      </w:r>
    </w:p>
    <w:p>
      <w:pPr>
        <w:pStyle w:val="ListBullet"/>
      </w:pPr>
      <w:r>
        <w:t>Total score: PwC 91, Deloitte 84, EY 78.</w:t>
      </w:r>
    </w:p>
    <w:p/>
    <w:p>
      <w:r>
        <w:t>Estimated FY2027 audit fee: S$485,000 (vs. KPMG FY2026 fee of S$420,000),</w:t>
      </w:r>
    </w:p>
    <w:p>
      <w:r>
        <w:t>which represents a 15.5% increase, reflecting the larger scale and</w:t>
      </w:r>
    </w:p>
    <w:p>
      <w:r>
        <w:t>complexity of the audit (subsidiaries in 7 jurisdictions, AI Act</w:t>
      </w:r>
    </w:p>
    <w:p>
      <w:r>
        <w:t>compliance work, SOC 2 Type II controls integrated audit).</w:t>
      </w:r>
    </w:p>
    <w:p/>
    <w:p>
      <w:r>
        <w:t>UNANIMOUS BOARD RESOLUTION B-48-04:</w:t>
      </w:r>
    </w:p>
    <w:p>
      <w:r>
        <w:t xml:space="preserve">  RESOLVED THAT, pursuant to Section 392CA of the Companies Act 1967, the</w:t>
      </w:r>
    </w:p>
    <w:p>
      <w:r>
        <w:t xml:space="preserve">  retirement of KPMG LLP as the external auditors of the Company at the</w:t>
      </w:r>
    </w:p>
    <w:p>
      <w:r>
        <w:t xml:space="preserve">  conclusion of the FY2026 audit (30 June 2027) is hereby NOTED, and the</w:t>
      </w:r>
    </w:p>
    <w:p>
      <w:r>
        <w:t xml:space="preserve">  Company's Audit &amp; Risk Committee be and is hereby authorised to manage</w:t>
      </w:r>
    </w:p>
    <w:p>
      <w:r>
        <w:t xml:space="preserve">  the smooth handover and transition from KPMG to the incoming auditors.</w:t>
      </w:r>
    </w:p>
    <w:p/>
    <w:p>
      <w:r>
        <w:t>Voting: 7 in favour, 0 against, 0 abstentions. CARRIED 7-0.</w:t>
      </w:r>
    </w:p>
    <w:p/>
    <w:p>
      <w:r>
        <w:t>BOARD RESOLUTION B-48-05:</w:t>
      </w:r>
    </w:p>
    <w:p>
      <w:r>
        <w:t xml:space="preserve">  RESOLVED THAT the Board, on the recommendation of the Audit &amp; Risk</w:t>
      </w:r>
    </w:p>
    <w:p>
      <w:r>
        <w:t xml:space="preserve">  Committee, nominates PricewaterhouseCoopers LLP ("PwC Singapore") for</w:t>
      </w:r>
    </w:p>
    <w:p>
      <w:r>
        <w:t xml:space="preserve">  appointment as external auditors of DBizLabs Private Limited for the</w:t>
      </w:r>
    </w:p>
    <w:p>
      <w:r>
        <w:t xml:space="preserve">  financial years ending 30 June 2027, 30 June 2028, and 30 June 2029,</w:t>
      </w:r>
    </w:p>
    <w:p>
      <w:r>
        <w:t xml:space="preserve">  at such remuneration as shall be agreed between PwC and the Audit &amp;</w:t>
      </w:r>
    </w:p>
    <w:p>
      <w:r>
        <w:t xml:space="preserve">  Risk Committee, and FURTHER RESOLVED THAT this nomination be put to the</w:t>
      </w:r>
    </w:p>
    <w:p>
      <w:r>
        <w:t xml:space="preserve">  shareholders for formal approval at the forthcoming Annual General</w:t>
      </w:r>
    </w:p>
    <w:p>
      <w:r>
        <w:t xml:space="preserve">  Meeting to be held on 20 February 2027.</w:t>
      </w:r>
    </w:p>
    <w:p/>
    <w:p>
      <w:r>
        <w:t>Voting on Resolution B-48-05: Ms. Nandhini Sivakumar recused herself</w:t>
      </w:r>
    </w:p>
    <w:p>
      <w:r>
        <w:t>(declared interest under Item 1). Of the remaining 6 Directors: 6 in</w:t>
      </w:r>
    </w:p>
    <w:p>
      <w:r>
        <w:t>favour, 0 against, 0 abstentions. CARRIED UNANIMOUSLY (6-0-1 recusal).</w:t>
      </w:r>
    </w:p>
    <w:p/>
    <w:p>
      <w:r>
        <w:t>4.7 R&amp;D Tax Claims Submission</w:t>
      </w:r>
    </w:p>
    <w:p>
      <w:r>
        <w:t>The CFO reported that the FY2025 basis period R&amp;D tax incentive claims</w:t>
      </w:r>
    </w:p>
    <w:p>
      <w:r>
        <w:t>under IRAS Productivity Solutions Grant (PSG) and the Tech@DTS double</w:t>
      </w:r>
    </w:p>
    <w:p>
      <w:r>
        <w:t>deduction scheme were currently with external advisor EY for final</w:t>
      </w:r>
    </w:p>
    <w:p>
      <w:r>
        <w:t>verification and would be submitted to IRAS on 30 September 2026. The</w:t>
      </w:r>
    </w:p>
    <w:p>
      <w:r>
        <w:t>total value of claims (cash payout plus additional tax deductions) was</w:t>
      </w:r>
    </w:p>
    <w:p>
      <w:r>
        <w:t>estimated at S$2.84 million, of which S$1.62 million was expected to be</w:t>
      </w:r>
    </w:p>
    <w:p>
      <w:r>
        <w:t>received as cash refund in Q2 FY2027. Independent Director Nandhini</w:t>
      </w:r>
    </w:p>
    <w:p>
      <w:r>
        <w:t>Sivakumar requested that the CFO provide the Remuneration Committee with</w:t>
      </w:r>
    </w:p>
    <w:p>
      <w:r>
        <w:t>a summary of R&amp;D tax claims history vs. actual R&amp;D spend by programme,</w:t>
      </w:r>
    </w:p>
    <w:p>
      <w:r>
        <w:t>for use as one input in the FY2026 annual bonus calculation, and the CFO</w:t>
      </w:r>
    </w:p>
    <w:p>
      <w:r>
        <w:t>undertook to provide this by 25 September.</w:t>
      </w:r>
    </w:p>
    <w:p/>
    <w:p>
      <w:r>
        <w:t>================================================================================</w:t>
      </w:r>
    </w:p>
    <w:p>
      <w:r>
        <w:t>ITEM 5: CTO AND R&amp;D UPDATE (09:55–10:20)</w:t>
      </w:r>
    </w:p>
    <w:p>
      <w:r>
        <w:t>================================================================================</w:t>
      </w:r>
    </w:p>
    <w:p/>
    <w:p>
      <w:r>
        <w:t>Ms. Amala Appathurai, Chief Technology Officer, presented the R&amp;D and</w:t>
      </w:r>
    </w:p>
    <w:p>
      <w:r>
        <w:t>Technology Platform update (Board Pack Tab E, 46 slides with engineering</w:t>
      </w:r>
    </w:p>
    <w:p>
      <w:r>
        <w:t>metrics and dashboards).</w:t>
      </w:r>
    </w:p>
    <w:p/>
    <w:p>
      <w:r>
        <w:t>5.1 DBiz GPT Platform — Ingestion and Vector Stack Update</w:t>
      </w:r>
    </w:p>
    <w:p>
      <w:r>
        <w:t>The CTO began with the completion of the Playwright web-loader rollout</w:t>
      </w:r>
    </w:p>
    <w:p>
      <w:r>
        <w:t>(Action Item 47-02, closed 23 Aug). The CTO reported that Playwright</w:t>
      </w:r>
    </w:p>
    <w:p>
      <w:r>
        <w:t>v1.60 had now replaced the legacy Cheerio + pdf.js based HTML ingestion</w:t>
      </w:r>
    </w:p>
    <w:p>
      <w:r>
        <w:t>pipeline for all 12 document source types, with a measured improvement of:</w:t>
      </w:r>
    </w:p>
    <w:p>
      <w:pPr>
        <w:pStyle w:val="ListBullet"/>
      </w:pPr>
      <w:r>
        <w:t>21.4% reduction in document processing time per 1,000 pages (from</w:t>
      </w:r>
    </w:p>
    <w:p>
      <w:r>
        <w:t xml:space="preserve">    74 seconds to 58 seconds)</w:t>
      </w:r>
    </w:p>
    <w:p>
      <w:pPr>
        <w:pStyle w:val="ListBullet"/>
      </w:pPr>
      <w:r>
        <w:t>37% reduction in chunking errors for JavaScript-rendered content</w:t>
      </w:r>
    </w:p>
    <w:p>
      <w:pPr>
        <w:pStyle w:val="ListBullet"/>
      </w:pPr>
      <w:r>
        <w:t>14.2% improvement in RAG answer faithfulness scores for web-sourced</w:t>
      </w:r>
    </w:p>
    <w:p>
      <w:r>
        <w:t xml:space="preserve">    documents in the internal dev QA harness</w:t>
      </w:r>
    </w:p>
    <w:p/>
    <w:p>
      <w:r>
        <w:t>Environment variable PLAYWRIGHT_WS_URL=ws://playwright:3000 is now the</w:t>
      </w:r>
    </w:p>
    <w:p>
      <w:r>
        <w:t>standard deployment configuration for all clusters, with 8 Playwright</w:t>
      </w:r>
    </w:p>
    <w:p>
      <w:r>
        <w:t>worker pods in the primary SG cluster and 4 workers each in EU and US</w:t>
      </w:r>
    </w:p>
    <w:p>
      <w:r>
        <w:t>standby clusters.</w:t>
      </w:r>
    </w:p>
    <w:p/>
    <w:p>
      <w:r>
        <w:t>Vector database stack architecture (finalised after 4 months of testing</w:t>
      </w:r>
    </w:p>
    <w:p>
      <w:r>
        <w:t>against Pinecone, Weaviate, and Qdrant alternatives):</w:t>
      </w:r>
    </w:p>
    <w:p>
      <w:pPr>
        <w:pStyle w:val="ListBullet"/>
      </w:pPr>
      <w:r>
        <w:t>PRIMARY: pgvector running on PostgreSQL 16 with IVFFlat indexes on</w:t>
      </w:r>
    </w:p>
    <w:p>
      <w:r>
        <w:t xml:space="preserve">    2048-dimension BGE-M3 embeddings, as part of the primary OLTP</w:t>
      </w:r>
    </w:p>
    <w:p>
      <w:r>
        <w:t xml:space="preserve">    database on AWS RDS Aurora Serverless v2 (PostgreSQL-compatible)</w:t>
      </w:r>
    </w:p>
    <w:p>
      <w:pPr>
        <w:pStyle w:val="ListBullet"/>
      </w:pPr>
      <w:r>
        <w:t>FALLBACK / EDGE: Chroma open-source vector store deployed on regional</w:t>
      </w:r>
    </w:p>
    <w:p>
      <w:r>
        <w:t xml:space="preserve">    edge Kubernetes clusters, for low-latency EU and US queries</w:t>
      </w:r>
    </w:p>
    <w:p>
      <w:pPr>
        <w:pStyle w:val="ListBullet"/>
      </w:pPr>
      <w:r>
        <w:t>Approximately 200,000 chunks indexed across all tenants as of 11</w:t>
      </w:r>
    </w:p>
    <w:p>
      <w:r>
        <w:t xml:space="preserve">    September 2026, growing at approximately 32,000 chunks/month</w:t>
      </w:r>
    </w:p>
    <w:p>
      <w:pPr>
        <w:pStyle w:val="ListBullet"/>
      </w:pPr>
      <w:r>
        <w:t>Hybrid search combining BM25 keyword matching with ANN approximate</w:t>
      </w:r>
    </w:p>
    <w:p>
      <w:r>
        <w:t xml:space="preserve">    nearest-neighbour embedding search, weighted 0.35 BM25 / 0.65 ANN on</w:t>
      </w:r>
    </w:p>
    <w:p>
      <w:r>
        <w:t xml:space="preserve">    general queries and adaptive weights per-query</w:t>
      </w:r>
    </w:p>
    <w:p/>
    <w:p>
      <w:r>
        <w:t>5.2 Embeddings, Chunking and Reranking Stack</w:t>
      </w:r>
    </w:p>
    <w:p>
      <w:pPr>
        <w:pStyle w:val="ListBullet"/>
      </w:pPr>
      <w:r>
        <w:t>Embeddings Model: BAAI/bge-m3 (multilingual BGE-M3). This model was</w:t>
      </w:r>
    </w:p>
    <w:p>
      <w:r>
        <w:t xml:space="preserve">    selected over alternatives (text-embedding-3-large, Voyage-Law-2,</w:t>
      </w:r>
    </w:p>
    <w:p>
      <w:r>
        <w:t xml:space="preserve">    Cohere-embed-multilingual-v3) after a 6-week evaluation on the</w:t>
      </w:r>
    </w:p>
    <w:p>
      <w:r>
        <w:t xml:space="preserve">    DBizLabs internal 12-document-type QA golden set. BGE-M3 scored</w:t>
      </w:r>
    </w:p>
    <w:p>
      <w:r>
        <w:t xml:space="preserve">    highest on SG English + Tamil + Mandarin multilingual retrieval tasks</w:t>
      </w:r>
    </w:p>
    <w:p>
      <w:r>
        <w:t xml:space="preserve">    and on cross-domain retrieval (Bond pricing + manufacturing SOPs).</w:t>
      </w:r>
    </w:p>
    <w:p>
      <w:r>
        <w:t xml:space="preserve">    Deployed self-hosted on 2x g5.xlarge instances per region to avoid</w:t>
      </w:r>
    </w:p>
    <w:p>
      <w:r>
        <w:t xml:space="preserve">    API-call latency and for data residency compliance.</w:t>
      </w:r>
    </w:p>
    <w:p/>
    <w:p>
      <w:pPr>
        <w:pStyle w:val="ListBullet"/>
      </w:pPr>
      <w:r>
        <w:t>Chunking strategy (now formalised in the internal Chunking Policy</w:t>
      </w:r>
    </w:p>
    <w:p>
      <w:r>
        <w:t xml:space="preserve">    version 3.1):</w:t>
      </w:r>
    </w:p>
    <w:p>
      <w:pPr>
        <w:pStyle w:val="ListBullet"/>
      </w:pPr>
      <w:r>
        <w:t>Unstructured.io pre-processing for PDFs, DOCX, XLSX, HTML, MSG,</w:t>
      </w:r>
    </w:p>
    <w:p>
      <w:r>
        <w:t xml:space="preserve">        PPTX</w:t>
      </w:r>
    </w:p>
    <w:p>
      <w:pPr>
        <w:pStyle w:val="ListBullet"/>
      </w:pPr>
      <w:r>
        <w:t>Primary strategy: Recursive character chunking with chunk_size =</w:t>
      </w:r>
    </w:p>
    <w:p>
      <w:r>
        <w:t xml:space="preserve">        900 tokens, chunk_overlap = 120 tokens.</w:t>
      </w:r>
    </w:p>
    <w:p>
      <w:pPr>
        <w:pStyle w:val="ListBullet"/>
      </w:pPr>
      <w:r>
        <w:t>Secondary (domain-aware): Semantic chunking based on BGE-M3</w:t>
      </w:r>
    </w:p>
    <w:p>
      <w:r>
        <w:t xml:space="preserve">        similarity boundary detection, applied only to long-form technical</w:t>
      </w:r>
    </w:p>
    <w:p>
      <w:r>
        <w:t xml:space="preserve">        manuals (Meiji MES SOPs) and Bond pricing research notes where</w:t>
      </w:r>
    </w:p>
    <w:p>
      <w:r>
        <w:t xml:space="preserve">        structural integrity matters more than uniformity.</w:t>
      </w:r>
    </w:p>
    <w:p>
      <w:pPr>
        <w:pStyle w:val="ListBullet"/>
      </w:pPr>
      <w:r>
        <w:t>CSV and tabular data: Hierarchical table-recognising chunker from</w:t>
      </w:r>
    </w:p>
    <w:p>
      <w:r>
        <w:t xml:space="preserve">        the Unstructured.io library, preserving row-group semantics.</w:t>
      </w:r>
    </w:p>
    <w:p/>
    <w:p>
      <w:pPr>
        <w:pStyle w:val="ListBullet"/>
      </w:pPr>
      <w:r>
        <w:t>Reranker: ColBERT-IR v2 (colbert-ir-v2) deployed as the primary</w:t>
      </w:r>
    </w:p>
    <w:p>
      <w:r>
        <w:t xml:space="preserve">    reranker in Q4 FY2026, replacing the current interim reranker based</w:t>
      </w:r>
    </w:p>
    <w:p>
      <w:r>
        <w:t xml:space="preserve">    on cross-encoder/ms-marco-MiniLM-L-12-v2. Expected to deliver a</w:t>
      </w:r>
    </w:p>
    <w:p>
      <w:r>
        <w:t xml:space="preserve">    measured 6–9% improvement in RAG faithfulness on adversarial QA.</w:t>
      </w:r>
    </w:p>
    <w:p>
      <w:r>
        <w:t xml:space="preserve">    Currently under load testing; target GA: 1 December 2026.</w:t>
      </w:r>
    </w:p>
    <w:p/>
    <w:p>
      <w:r>
        <w:t>5.3 RAG Faithfulness and Evaluation Results</w:t>
      </w:r>
    </w:p>
    <w:p>
      <w:r>
        <w:t>The CTO presented Q3 2026 RAG evaluation results (Tab E, Pages 21–27).</w:t>
      </w:r>
    </w:p>
    <w:p>
      <w:r>
        <w:t>Across the internal development QA harness of 1,800 golden Q&amp;A pairs</w:t>
      </w:r>
    </w:p>
    <w:p>
      <w:r>
        <w:t>spanning 12 document types:</w:t>
      </w:r>
    </w:p>
    <w:p>
      <w:pPr>
        <w:pStyle w:val="ListBullet"/>
      </w:pPr>
      <w:r>
        <w:t>RAG faithfulness score (Ragas v0.1.22 "faithfulness" metric): 91.3%</w:t>
      </w:r>
    </w:p>
    <w:p>
      <w:r>
        <w:t xml:space="preserve">    (Q2 FY2026: 87.4%, Q1 FY2026: 83.8%)</w:t>
      </w:r>
    </w:p>
    <w:p>
      <w:pPr>
        <w:pStyle w:val="ListBullet"/>
      </w:pPr>
      <w:r>
        <w:t>Answer relevancy: 94.1% (Q2: 90.2%)</w:t>
      </w:r>
    </w:p>
    <w:p>
      <w:pPr>
        <w:pStyle w:val="ListBullet"/>
      </w:pPr>
      <w:r>
        <w:t>Context precision: 92.7% (Q2: 88.4%)</w:t>
      </w:r>
    </w:p>
    <w:p>
      <w:pPr>
        <w:pStyle w:val="ListBullet"/>
      </w:pPr>
      <w:r>
        <w:t>Context recall: 90.8% (Q2: 86.1%)</w:t>
      </w:r>
    </w:p>
    <w:p>
      <w:pPr>
        <w:pStyle w:val="ListBullet"/>
      </w:pPr>
      <w:r>
        <w:t>Hallucination rate (human-checked 5%-subsample): 3.2% of answers</w:t>
      </w:r>
    </w:p>
    <w:p>
      <w:r>
        <w:t xml:space="preserve">    contained any material unsupported claim, down from 7.1% in Q2.</w:t>
      </w:r>
    </w:p>
    <w:p/>
    <w:p>
      <w:r>
        <w:t>CTO emphasised that the 92% faithfulness target referenced in the AI</w:t>
      </w:r>
    </w:p>
    <w:p>
      <w:r>
        <w:t>Strategy Whitepaper (Item 8, Appendix KPIs) was now within reach for Q4</w:t>
      </w:r>
    </w:p>
    <w:p>
      <w:r>
        <w:t>FY2026, after the ColBERT v2 reranker and additional BGE-M3 fine-tuning</w:t>
      </w:r>
    </w:p>
    <w:p>
      <w:r>
        <w:t>on DBizLabs domain data went live.</w:t>
      </w:r>
    </w:p>
    <w:p/>
    <w:p>
      <w:r>
        <w:t>5.4 MCP (Model Context Protocol) Server Rollout</w:t>
      </w:r>
    </w:p>
    <w:p>
      <w:r>
        <w:t>The CTO reported that the MCP-based agent tool ecosystem was now in</w:t>
      </w:r>
    </w:p>
    <w:p>
      <w:r>
        <w:t>active production. 11 MCP servers were live and registered with the</w:t>
      </w:r>
    </w:p>
    <w:p>
      <w:r>
        <w:t>central MCP registry as at 11 September 2026:</w:t>
      </w:r>
    </w:p>
    <w:p>
      <w:r>
        <w:t xml:space="preserve">  1. Jira Cloud (ticket creation, status updates, sprint queries)</w:t>
      </w:r>
    </w:p>
    <w:p>
      <w:r>
        <w:t xml:space="preserve">  2. Gmail &amp; Google Workspace Calendar (email search, calendar CRUD)</w:t>
      </w:r>
    </w:p>
    <w:p>
      <w:r>
        <w:t xml:space="preserve">  3. Slack Enterprise (post messages, search history, user lookup)</w:t>
      </w:r>
    </w:p>
    <w:p>
      <w:r>
        <w:t xml:space="preserve">  4. Finance-ERP (NetSuite; invoice status, AP/AR, budget vs actual)</w:t>
      </w:r>
    </w:p>
    <w:p>
      <w:r>
        <w:t xml:space="preserve">  5. Meiji-MES (OEE readings, quality alerts, production schedule feed)</w:t>
      </w:r>
    </w:p>
    <w:p>
      <w:r>
        <w:t xml:space="preserve">  6. Hirethm-ATS (candidate search, interview booking, offer approvals)</w:t>
      </w:r>
    </w:p>
    <w:p>
      <w:r>
        <w:t xml:space="preserve">  7. Bond-Pricing (yield curve lookups, scenario simulation trigger,</w:t>
      </w:r>
    </w:p>
    <w:p>
      <w:r>
        <w:t xml:space="preserve">     bond analytics calculations)</w:t>
      </w:r>
    </w:p>
    <w:p>
      <w:r>
        <w:t xml:space="preserve">  8. Calendar v2 (cross-Microsoft 365 + Google unified)</w:t>
      </w:r>
    </w:p>
    <w:p>
      <w:r>
        <w:t xml:space="preserve">  9. Google Drive v3 (search Drive items, read/write docs/sheets)</w:t>
      </w:r>
    </w:p>
    <w:p>
      <w:r>
        <w:t xml:space="preserve">  10. Notion API (pages, databases, comments)</w:t>
      </w:r>
    </w:p>
    <w:p>
      <w:r>
        <w:t xml:space="preserve">  11. Internal Wiki (Confluence DC 8.5 read-only + search)</w:t>
      </w:r>
    </w:p>
    <w:p/>
    <w:p>
      <w:r>
        <w:t>Each MCP server implements 12–38 tools, bringing the total registered</w:t>
      </w:r>
    </w:p>
    <w:p>
      <w:r>
        <w:t>tools available to agents to 243 as of the meeting date. Tool-use success</w:t>
      </w:r>
    </w:p>
    <w:p>
      <w:r>
        <w:t>rate (measured by correct parameter validation and no exception on tool</w:t>
      </w:r>
    </w:p>
    <w:p>
      <w:r>
        <w:t>call execution) was 88.6% in Q3, target 90% for Q4.</w:t>
      </w:r>
    </w:p>
    <w:p/>
    <w:p>
      <w:r>
        <w:t>5.5 Agentic Copilot 1.1 — Planning Module</w:t>
      </w:r>
    </w:p>
    <w:p>
      <w:r>
        <w:t>The CTO reported that Agentic Copilot v1.1, which introduces a dedicated</w:t>
      </w:r>
    </w:p>
    <w:p>
      <w:r>
        <w:t>planning module combining ReAct prompting with Tree of Thoughts (ToT)</w:t>
      </w:r>
    </w:p>
    <w:p>
      <w:r>
        <w:t>branch-and-prune exploration for complex multi-step tasks, was currently</w:t>
      </w:r>
    </w:p>
    <w:p>
      <w:r>
        <w:t>in final QA stage. She shared benchmark results on the 300-task DBizLabs</w:t>
      </w:r>
    </w:p>
    <w:p>
      <w:r>
        <w:t>internal agent benchmark:</w:t>
      </w:r>
    </w:p>
    <w:p>
      <w:pPr>
        <w:pStyle w:val="ListBullet"/>
      </w:pPr>
      <w:r>
        <w:t>Task completion rate (v1.0 baseline): 68.3%</w:t>
      </w:r>
    </w:p>
    <w:p>
      <w:pPr>
        <w:pStyle w:val="ListBullet"/>
      </w:pPr>
      <w:r>
        <w:t>Task completion rate (v1.1, QA build 58): 79.6% (+11.3 percentage</w:t>
      </w:r>
    </w:p>
    <w:p>
      <w:r>
        <w:t xml:space="preserve">    points absolute)</w:t>
      </w:r>
    </w:p>
    <w:p>
      <w:pPr>
        <w:pStyle w:val="ListBullet"/>
      </w:pPr>
      <w:r>
        <w:t>Average end-to-end latency reduction: 15.2% lower than v1.0 on</w:t>
      </w:r>
    </w:p>
    <w:p>
      <w:r>
        <w:t xml:space="preserve">    matched tasks</w:t>
      </w:r>
    </w:p>
    <w:p>
      <w:pPr>
        <w:pStyle w:val="ListBullet"/>
      </w:pPr>
      <w:r>
        <w:t>Cost per task (LLM tokens): -4.3% compared to v1.0 (due to better</w:t>
      </w:r>
    </w:p>
    <w:p>
      <w:r>
        <w:t xml:space="preserve">    pruning in ToT reducing wasted tokens on dead-end paths)</w:t>
      </w:r>
    </w:p>
    <w:p/>
    <w:p>
      <w:r>
        <w:t>Director Nandhini Sivakumar asked about guardrails around the ToT module</w:t>
      </w:r>
    </w:p>
    <w:p>
      <w:r>
        <w:t>to prevent unbounded token consumption. CTO confirmed that per-query</w:t>
      </w:r>
    </w:p>
    <w:p>
      <w:r>
        <w:t>token budgets and per-agent execution-time budgets were enforced at the</w:t>
      </w:r>
    </w:p>
    <w:p>
      <w:r>
        <w:t>LangGraph orchestration layer:</w:t>
      </w:r>
    </w:p>
    <w:p>
      <w:pPr>
        <w:pStyle w:val="ListBullet"/>
      </w:pPr>
      <w:r>
        <w:t>"Sensible default" budget: 25,000 input tokens, 12,000 output tokens,</w:t>
      </w:r>
    </w:p>
    <w:p>
      <w:r>
        <w:t xml:space="preserve">    5 minutes wall-clock time</w:t>
      </w:r>
    </w:p>
    <w:p>
      <w:pPr>
        <w:pStyle w:val="ListBullet"/>
      </w:pPr>
      <w:r>
        <w:t>"Complex task" budget (triggered by user request and auto-approve</w:t>
      </w:r>
    </w:p>
    <w:p>
      <w:r>
        <w:t xml:space="preserve">    threshold): 100,000 input tokens, 50,000 output tokens, 20 minutes</w:t>
      </w:r>
    </w:p>
    <w:p>
      <w:pPr>
        <w:pStyle w:val="ListBullet"/>
      </w:pPr>
      <w:r>
        <w:t>"Executive override" budget: Requires CTO or her deputy to sign a</w:t>
      </w:r>
    </w:p>
    <w:p>
      <w:r>
        <w:t xml:space="preserve">    manual budget ticket; no hard upper bound but tracked and billed to</w:t>
      </w:r>
    </w:p>
    <w:p>
      <w:r>
        <w:t xml:space="preserve">    the requestor's department for cost transparency.</w:t>
      </w:r>
    </w:p>
    <w:p/>
    <w:p>
      <w:r>
        <w:t>5.6 Data Residency, SOC 2 Type II, and Multi-Region Deployment</w:t>
      </w:r>
    </w:p>
    <w:p>
      <w:r>
        <w:t>The CTO outlined the three-region deployment architecture:</w:t>
      </w:r>
    </w:p>
    <w:p>
      <w:pPr>
        <w:pStyle w:val="ListBullet"/>
      </w:pPr>
      <w:r>
        <w:t>PRIMARY CLUSTER: ap-southeast-1 (Singapore). All SG and APAC tenant</w:t>
      </w:r>
    </w:p>
    <w:p>
      <w:r>
        <w:t xml:space="preserve">    data exclusively resident here. Production workloads, 14 Kubernetes</w:t>
      </w:r>
    </w:p>
    <w:p>
      <w:r>
        <w:t xml:space="preserve">    nodes, RDS Aurora primary.</w:t>
      </w:r>
    </w:p>
    <w:p>
      <w:pPr>
        <w:pStyle w:val="ListBullet"/>
      </w:pPr>
      <w:r>
        <w:t>EU CLUSTER: eu-west-1 (Ireland). EEA tenant data exclusively</w:t>
      </w:r>
    </w:p>
    <w:p>
      <w:r>
        <w:t xml:space="preserve">    resident here, activated 14 August 2026. Currently 4 customers on</w:t>
      </w:r>
    </w:p>
    <w:p>
      <w:r>
        <w:t xml:space="preserve">    the EU cluster.</w:t>
      </w:r>
    </w:p>
    <w:p>
      <w:pPr>
        <w:pStyle w:val="ListBullet"/>
      </w:pPr>
      <w:r>
        <w:t>US CLUSTER: us-east-1 (North Virginia). US and Americas tenant data</w:t>
      </w:r>
    </w:p>
    <w:p>
      <w:r>
        <w:t xml:space="preserve">    exclusively resident. Activated 1 September 2026; 2 customers in</w:t>
      </w:r>
    </w:p>
    <w:p>
      <w:r>
        <w:t xml:space="preserve">    migration with go-live dates 2 October and 13 November 2026.</w:t>
      </w:r>
    </w:p>
    <w:p/>
    <w:p>
      <w:r>
        <w:t>SOC 2 Type II audit readiness: The formal kick-off meeting with Schellman</w:t>
      </w:r>
    </w:p>
    <w:p>
      <w:r>
        <w:t>(third-party assessor) is scheduled for Tuesday, 14 October 2026 at 09:30</w:t>
      </w:r>
    </w:p>
    <w:p>
      <w:r>
        <w:t>SGT. Pre-readiness self-assessment questionnaire is 80% complete. The</w:t>
      </w:r>
    </w:p>
    <w:p>
      <w:r>
        <w:t>Scope of the audit includes all three AWS regions, the DBiz GPT platform,</w:t>
      </w:r>
    </w:p>
    <w:p>
      <w:r>
        <w:t>Bond Copilot, and Meiji MES SaaS tenant environments (Hirethm to be</w:t>
      </w:r>
    </w:p>
    <w:p>
      <w:r>
        <w:t>added in a Phase 2 supplementary audit in Q2 FY2027). Expected period of</w:t>
      </w:r>
    </w:p>
    <w:p>
      <w:r>
        <w:t>audit: 1 October 2026 through 31 March 2027. Final SOC 2 Type II report</w:t>
      </w:r>
    </w:p>
    <w:p>
      <w:r>
        <w:t>delivery target: mid-May 2027.</w:t>
      </w:r>
    </w:p>
    <w:p/>
    <w:p>
      <w:r>
        <w:t>================================================================================</w:t>
      </w:r>
    </w:p>
    <w:p>
      <w:r>
        <w:t>ITEM 6: CHIEF PRODUCT OFFICER — PRODUCT &amp; CUSTOMERS (10:20–10:40)</w:t>
      </w:r>
    </w:p>
    <w:p>
      <w:r>
        <w:t>================================================================================</w:t>
      </w:r>
    </w:p>
    <w:p/>
    <w:p>
      <w:r>
        <w:t>Ms. Narmadha Sivakumar, Chief Product Officer, presented the Product and</w:t>
      </w:r>
    </w:p>
    <w:p>
      <w:r>
        <w:t>Customer KPIs update (Board Pack Tab F, 32 slides including the customer</w:t>
      </w:r>
    </w:p>
    <w:p>
      <w:r>
        <w:t>win/loss analysis).</w:t>
      </w:r>
    </w:p>
    <w:p/>
    <w:p>
      <w:r>
        <w:t>6.1 Net Promoter Score (NPS)</w:t>
      </w:r>
    </w:p>
    <w:p>
      <w:r>
        <w:t>Q3 FY2026 NPS (surveyed 15–30 September 2026, n=218 responses across all</w:t>
      </w:r>
    </w:p>
    <w:p>
      <w:r>
        <w:t>product lines, 49.7% response rate):</w:t>
      </w:r>
    </w:p>
    <w:p/>
    <w:p>
      <w:pPr>
        <w:pStyle w:val="ListBullet"/>
      </w:pPr>
      <w:r>
        <w:t>Meiji MES:        NPS = 58 (Q2 FY2026 = 52; Q1 FY2026 = 47)</w:t>
      </w:r>
    </w:p>
    <w:p>
      <w:pPr>
        <w:pStyle w:val="ListBullet"/>
      </w:pPr>
      <w:r>
        <w:t>Bond Copilot:     NPS = 52 (Q2 = 48; Q1 = 44)</w:t>
      </w:r>
    </w:p>
    <w:p>
      <w:pPr>
        <w:pStyle w:val="ListBullet"/>
      </w:pPr>
      <w:r>
        <w:t>Hirethm HR SaaS:  NPS = 47 (Q2 = 44; Q1 = 40)</w:t>
      </w:r>
    </w:p>
    <w:p>
      <w:pPr>
        <w:pStyle w:val="ListBullet"/>
      </w:pPr>
      <w:r>
        <w:t>Weighted average: NPS = 53 (Q2 = 48; Q1 = 44)</w:t>
      </w:r>
    </w:p>
    <w:p/>
    <w:p>
      <w:r>
        <w:t>Industry benchmarks from the Blissfully 2026 SaaS NPS Report:</w:t>
      </w:r>
    </w:p>
    <w:p>
      <w:pPr>
        <w:pStyle w:val="ListBullet"/>
      </w:pPr>
      <w:r>
        <w:t>Enterprise HR SaaS median NPS: 34</w:t>
      </w:r>
    </w:p>
    <w:p>
      <w:pPr>
        <w:pStyle w:val="ListBullet"/>
      </w:pPr>
      <w:r>
        <w:t>Fixed-Income Financial Technology median NPS: 31</w:t>
      </w:r>
    </w:p>
    <w:p>
      <w:pPr>
        <w:pStyle w:val="ListBullet"/>
      </w:pPr>
      <w:r>
        <w:t>Industrial / MES Software median NPS: 28</w:t>
      </w:r>
    </w:p>
    <w:p/>
    <w:p>
      <w:r>
        <w:t>The CPO noted that all three products were tracking significantly above</w:t>
      </w:r>
    </w:p>
    <w:p>
      <w:r>
        <w:t>their respective industry medians. Comments tagged "AI" or "Copilot"</w:t>
      </w:r>
    </w:p>
    <w:p>
      <w:r>
        <w:t>features as the top positive driver in 61% of promoter comments — a</w:t>
      </w:r>
    </w:p>
    <w:p>
      <w:r>
        <w:t>significant increase from 39% in Q2.</w:t>
      </w:r>
    </w:p>
    <w:p/>
    <w:p>
      <w:r>
        <w:t>6.2 Churn and Retention Metrics</w:t>
      </w:r>
    </w:p>
    <w:p>
      <w:r>
        <w:t>Gross revenue churn rate (weighted, trailing 3 months annualised):</w:t>
      </w:r>
    </w:p>
    <w:p>
      <w:r>
        <w:t>4.1% across all products, down from 4.6% in Q2 FY2026 and 5.3% in Q3</w:t>
      </w:r>
    </w:p>
    <w:p>
      <w:r>
        <w:t>FY2025.</w:t>
      </w:r>
    </w:p>
    <w:p/>
    <w:p>
      <w:r>
        <w:t>By product:</w:t>
      </w:r>
    </w:p>
    <w:p>
      <w:pPr>
        <w:pStyle w:val="ListBullet"/>
      </w:pPr>
      <w:r>
        <w:t>Meiji MES: 3.2% gross revenue churn (enterprise manufacturing</w:t>
      </w:r>
    </w:p>
    <w:p>
      <w:r>
        <w:t xml:space="preserve">    accounts historically "sticky"; one downgrade in the quarter from a</w:t>
      </w:r>
    </w:p>
    <w:p>
      <w:r>
        <w:t xml:space="preserve">    German chemical manufacturer who divested a plant)</w:t>
      </w:r>
    </w:p>
    <w:p>
      <w:pPr>
        <w:pStyle w:val="ListBullet"/>
      </w:pPr>
      <w:r>
        <w:t>Bond Copilot: 5.1% gross revenue churn (two non-renewals from</w:t>
      </w:r>
    </w:p>
    <w:p>
      <w:r>
        <w:t xml:space="preserve">    mid-tier hedge funds that consolidated AI tools post-acquisition;</w:t>
      </w:r>
    </w:p>
    <w:p>
      <w:r>
        <w:t xml:space="preserve">    replaced in the same month by new ACV of 2.8x the lost revenue)</w:t>
      </w:r>
    </w:p>
    <w:p>
      <w:pPr>
        <w:pStyle w:val="ListBullet"/>
      </w:pPr>
      <w:r>
        <w:t>Hirethm: 4.4% gross revenue churn (one mid-market customer moved to</w:t>
      </w:r>
    </w:p>
    <w:p>
      <w:r>
        <w:t xml:space="preserve">    Workday after an ERP consolidation; net-negative churn offset by</w:t>
      </w:r>
    </w:p>
    <w:p>
      <w:r>
        <w:t xml:space="preserve">    upsells)</w:t>
      </w:r>
    </w:p>
    <w:p/>
    <w:p>
      <w:r>
        <w:t>Net Revenue Retention (NRR) on trailing 12-month basis: 121% overall.</w:t>
      </w:r>
    </w:p>
    <w:p>
      <w:r>
        <w:t>Meiji MES led at 126%, Bond Copilot 118%, Hirethm 117%. All comfortably</w:t>
      </w:r>
    </w:p>
    <w:p>
      <w:r>
        <w:t>above the Board-approved minimum 110% NRR target.</w:t>
      </w:r>
    </w:p>
    <w:p/>
    <w:p>
      <w:r>
        <w:t>6.3 G2 Crowd and Analyst Recognition</w:t>
      </w:r>
    </w:p>
    <w:p>
      <w:r>
        <w:t>The CPO announced that G2 Crowd, the peer-to-peer business software</w:t>
      </w:r>
    </w:p>
    <w:p>
      <w:r>
        <w:t>review platform, had recognised DBizLabs in the Q3 2026 reports (released</w:t>
      </w:r>
    </w:p>
    <w:p>
      <w:r>
        <w:t>1 September 2026) as:</w:t>
      </w:r>
    </w:p>
    <w:p>
      <w:pPr>
        <w:pStyle w:val="ListBullet"/>
      </w:pPr>
      <w:r>
        <w:t>LEADER in the "Industrial RAG (Manufacturing)" category (Meiji MES,</w:t>
      </w:r>
    </w:p>
    <w:p>
      <w:r>
        <w:t xml:space="preserve">    ranked #1 in both Implementation ROI and Usability)</w:t>
      </w:r>
    </w:p>
    <w:p>
      <w:pPr>
        <w:pStyle w:val="ListBullet"/>
      </w:pPr>
      <w:r>
        <w:t>LEADER in the "HR Chatbots &amp; Virtual Assistants" category (Hirethm,</w:t>
      </w:r>
    </w:p>
    <w:p>
      <w:r>
        <w:t xml:space="preserve">    for the second consecutive quarter)</w:t>
      </w:r>
    </w:p>
    <w:p>
      <w:pPr>
        <w:pStyle w:val="ListBullet"/>
      </w:pPr>
      <w:r>
        <w:t>HIGH PERFORMER in "Generative AI for Financial Services" (Bond</w:t>
      </w:r>
    </w:p>
    <w:p>
      <w:r>
        <w:t xml:space="preserve">    Copilot — missed Leader by 2 review points; targeted Q4 Leader)</w:t>
      </w:r>
    </w:p>
    <w:p/>
    <w:p>
      <w:r>
        <w:t>Additionally, DBizLabs won 6 competitive deals specifically identified by</w:t>
      </w:r>
    </w:p>
    <w:p>
      <w:r>
        <w:t>the customer as having used a Gartner-designed RFP evaluation framework</w:t>
      </w:r>
    </w:p>
    <w:p>
      <w:r>
        <w:t>for enterprise AI platform shortlisting. The CPO noted that the Gartner</w:t>
      </w:r>
    </w:p>
    <w:p>
      <w:r>
        <w:t>"AI Trust, Risk and Security Management (AI TRiSM)" reference</w:t>
      </w:r>
    </w:p>
    <w:p>
      <w:r>
        <w:t>architecture was increasingly referenced in enterprise RFPs, and the</w:t>
      </w:r>
    </w:p>
    <w:p>
      <w:r>
        <w:t>Governance Pillar of the AI Strategy (File 5) was the strongest</w:t>
      </w:r>
    </w:p>
    <w:p>
      <w:r>
        <w:t>differentiator against competitors on those evaluation criteria.</w:t>
      </w:r>
    </w:p>
    <w:p/>
    <w:p>
      <w:r>
        <w:t>6.4 Near-Term Product Roadmap Releases</w:t>
      </w:r>
    </w:p>
    <w:p>
      <w:r>
        <w:t>The CPO presented the confirmed and committed near-term roadmap:</w:t>
      </w:r>
    </w:p>
    <w:p>
      <w:pPr>
        <w:pStyle w:val="ListBullet"/>
      </w:pPr>
      <w:r>
        <w:t>20 October 2026: Bond Copilot 2.0 General Availability. Major</w:t>
      </w:r>
    </w:p>
    <w:p>
      <w:r>
        <w:t xml:space="preserve">    features: Complete yield curve modelling module, bond price scenario</w:t>
      </w:r>
    </w:p>
    <w:p>
      <w:r>
        <w:t xml:space="preserve">    simulator (15 concurrent stress scenarios per portfolio), MAS Notice</w:t>
      </w:r>
    </w:p>
    <w:p>
      <w:r>
        <w:t xml:space="preserve">    SFA 04-N16 regulatory reporting export, support for 9 additional</w:t>
      </w:r>
    </w:p>
    <w:p>
      <w:r>
        <w:t xml:space="preserve">    local currency government bond markets.</w:t>
      </w:r>
    </w:p>
    <w:p>
      <w:pPr>
        <w:pStyle w:val="ListBullet"/>
      </w:pPr>
      <w:r>
        <w:t>3 November 2026: Hirethm Applicant Tracking System v3 General</w:t>
      </w:r>
    </w:p>
    <w:p>
      <w:r>
        <w:t xml:space="preserve">    Availability. Major features: AI-powered interview copilot,</w:t>
      </w:r>
    </w:p>
    <w:p>
      <w:r>
        <w:t xml:space="preserve">    structured de-biased candidate shortlisting (blind to name, age,</w:t>
      </w:r>
    </w:p>
    <w:p>
      <w:r>
        <w:t xml:space="preserve">    gender, university), native integration with LinkedIn Recruiter</w:t>
      </w:r>
    </w:p>
    <w:p>
      <w:r>
        <w:t xml:space="preserve">    System Connect, multi-language job descriptions in 14 languages.</w:t>
      </w:r>
    </w:p>
    <w:p>
      <w:pPr>
        <w:pStyle w:val="ListBullet"/>
      </w:pPr>
      <w:r>
        <w:t>10 November 2026: Meiji MES OEE Live Wallboards General</w:t>
      </w:r>
    </w:p>
    <w:p>
      <w:r>
        <w:t xml:space="preserve">    Availability. Major features: Plant-floor 55" touch wallboard UI,</w:t>
      </w:r>
    </w:p>
    <w:p>
      <w:r>
        <w:t xml:space="preserve">    real-time OEE streaming with 2-second update cadence, AI-driven OEE</w:t>
      </w:r>
    </w:p>
    <w:p>
      <w:r>
        <w:t xml:space="preserve">    root-cause alerts (42 alert playbooks pre-configured for the 12</w:t>
      </w:r>
    </w:p>
    <w:p>
      <w:r>
        <w:t xml:space="preserve">    highest-frequency downtime causes), mobile iOS/Android companion</w:t>
      </w:r>
    </w:p>
    <w:p>
      <w:r>
        <w:t xml:space="preserve">    app for line supervisors.</w:t>
      </w:r>
    </w:p>
    <w:p/>
    <w:p>
      <w:r>
        <w:t>The CPO confirmed that all three release dates had been re-baselined in</w:t>
      </w:r>
    </w:p>
    <w:p>
      <w:r>
        <w:t>the Q4 roadmap prioritisation workshop (Action Item 47-07) and were</w:t>
      </w:r>
    </w:p>
    <w:p>
      <w:r>
        <w:t>currently tracking at 96% confidence in the internal release risk model.</w:t>
      </w:r>
    </w:p>
    <w:p/>
    <w:p>
      <w:r>
        <w:t>================================================================================</w:t>
      </w:r>
    </w:p>
    <w:p>
      <w:r>
        <w:t>ITEM 7: PEOPLE &amp; ORGANISATION UPDATE (10:40–10:55)</w:t>
      </w:r>
    </w:p>
    <w:p>
      <w:r>
        <w:t>================================================================================</w:t>
      </w:r>
    </w:p>
    <w:p/>
    <w:p>
      <w:r>
        <w:t>Ms. Divya Muthu, Chief Operating Officer, presented the People &amp;</w:t>
      </w:r>
    </w:p>
    <w:p>
      <w:r>
        <w:t>Organisation update (Board Pack Tab G, 18 slides).</w:t>
      </w:r>
    </w:p>
    <w:p/>
    <w:p>
      <w:r>
        <w:t>7.1 Headcount and Hiring Statistics</w:t>
      </w:r>
    </w:p>
    <w:p>
      <w:r>
        <w:t>Total headcount (FTE, full-time permanent, excluding contractors and</w:t>
      </w:r>
    </w:p>
    <w:p>
      <w:r>
        <w:t>interns) as at 30 September 2026: 317, compared to 260 FTEs at 30 June</w:t>
      </w:r>
    </w:p>
    <w:p>
      <w:r>
        <w:t>2026 (end Q2 FY2026) and 225 FTEs at 30 September 2025.</w:t>
      </w:r>
    </w:p>
    <w:p/>
    <w:p>
      <w:r>
        <w:t>Net new hires year-to-date (FY2026, 1 Jul 2025 – 30 Sep 2026): 58 net</w:t>
      </w:r>
    </w:p>
    <w:p>
      <w:r>
        <w:t>hires (92 gross hires less 34 departures = net 58).</w:t>
      </w:r>
    </w:p>
    <w:p/>
    <w:p>
      <w:r>
        <w:t>Functional breakdown of the 317 FTEs:</w:t>
      </w:r>
    </w:p>
    <w:p>
      <w:r>
        <w:t xml:space="preserve">  Engineering + R&amp;D:          135   42.6%</w:t>
      </w:r>
    </w:p>
    <w:p>
      <w:r>
        <w:t xml:space="preserve">  Sales + Marketing:           71   22.4%</w:t>
      </w:r>
    </w:p>
    <w:p>
      <w:r>
        <w:t xml:space="preserve">  ProServe + Customer Success: 60   18.9%</w:t>
      </w:r>
    </w:p>
    <w:p>
      <w:r>
        <w:t xml:space="preserve">  General &amp; Administrative:    51   16.1%</w:t>
      </w:r>
    </w:p>
    <w:p/>
    <w:p>
      <w:r>
        <w:t>Time-to-fill (average days from requisition approval to accepted offer):</w:t>
      </w:r>
    </w:p>
    <w:p>
      <w:pPr>
        <w:pStyle w:val="ListBullet"/>
      </w:pPr>
      <w:r>
        <w:t>Engineering roles: 58 days (target &lt;60 days — GREEN)</w:t>
      </w:r>
    </w:p>
    <w:p>
      <w:pPr>
        <w:pStyle w:val="ListBullet"/>
      </w:pPr>
      <w:r>
        <w:t>Sales roles: 72 days (target &lt;65 days — AMBER; COO to review GTM</w:t>
      </w:r>
    </w:p>
    <w:p>
      <w:r>
        <w:t xml:space="preserve">    recruitment sourcing channels; 2 additional search firms on-boarded</w:t>
      </w:r>
    </w:p>
    <w:p>
      <w:r>
        <w:t xml:space="preserve">    15 Sep)</w:t>
      </w:r>
    </w:p>
    <w:p>
      <w:pPr>
        <w:pStyle w:val="ListBullet"/>
      </w:pPr>
      <w:r>
        <w:t>G&amp;A / People / Finance roles: 41 days (target &lt;45 days — GREEN)</w:t>
      </w:r>
    </w:p>
    <w:p>
      <w:pPr>
        <w:pStyle w:val="ListBullet"/>
      </w:pPr>
      <w:r>
        <w:t>ProServe / CSM roles: 47 days (target &lt;50 days — GREEN)</w:t>
      </w:r>
    </w:p>
    <w:p/>
    <w:p>
      <w:r>
        <w:t>Hiring manager satisfaction scores (5-point scale, exit survey for each</w:t>
      </w:r>
    </w:p>
    <w:p>
      <w:r>
        <w:t>filled requisition):</w:t>
      </w:r>
    </w:p>
    <w:p>
      <w:r>
        <w:t xml:space="preserve">  Engineering hiring managers: 4.2 / 5.0</w:t>
      </w:r>
    </w:p>
    <w:p>
      <w:r>
        <w:t xml:space="preserve">  Sales hiring managers: 3.8 / 5.0 (below 4.0 target; AMBER)</w:t>
      </w:r>
    </w:p>
    <w:p>
      <w:r>
        <w:t xml:space="preserve">  Overall: 4.0 / 5.0</w:t>
      </w:r>
    </w:p>
    <w:p/>
    <w:p>
      <w:r>
        <w:t>7.2 Attrition</w:t>
      </w:r>
    </w:p>
    <w:p>
      <w:r>
        <w:t>Trailing 12-month voluntary attrition: 11.2%, down from 14.5% at end of</w:t>
      </w:r>
    </w:p>
    <w:p>
      <w:r>
        <w:t>FY2025 (30 Jun 2025) and below the FY2026 Board-approved attrition</w:t>
      </w:r>
    </w:p>
    <w:p>
      <w:r>
        <w:t>target of 13.5%.</w:t>
      </w:r>
    </w:p>
    <w:p/>
    <w:p>
      <w:r>
        <w:t>By function (TTM voluntary attrition):</w:t>
      </w:r>
    </w:p>
    <w:p>
      <w:r>
        <w:t xml:space="preserve">  R&amp;D / Engineering: 9.4%</w:t>
      </w:r>
    </w:p>
    <w:p>
      <w:r>
        <w:t xml:space="preserve">  ProServe / CSM: 11.7%</w:t>
      </w:r>
    </w:p>
    <w:p>
      <w:r>
        <w:t xml:space="preserve">  G&amp;A: 12.1%</w:t>
      </w:r>
    </w:p>
    <w:p>
      <w:r>
        <w:t xml:space="preserve">  Sales &amp; Marketing: 14.2% (highest; driven primarily by two mid-level</w:t>
      </w:r>
    </w:p>
    <w:p>
      <w:r>
        <w:t xml:space="preserve">    SDR managers leaving for competitor roles in late Q2. Exit interviews</w:t>
      </w:r>
    </w:p>
    <w:p>
      <w:r>
        <w:t xml:space="preserve">    cited base-salary market positioning; RemCo approved in its 8 Sep</w:t>
      </w:r>
    </w:p>
    <w:p>
      <w:r>
        <w:t xml:space="preserve">    2026 meeting a mid-cycle targeted adjustment for 18 sales roles to</w:t>
      </w:r>
    </w:p>
    <w:p>
      <w:r>
        <w:t xml:space="preserve">    address the gap, effective 1 October 2026 payroll.)</w:t>
      </w:r>
    </w:p>
    <w:p/>
    <w:p>
      <w:r>
        <w:t>By gender (TTM voluntary): Women 10.8%, Men 11.7%. No material gap.</w:t>
      </w:r>
    </w:p>
    <w:p>
      <w:r>
        <w:t>By tenure: 0-12 months attrition 16.4%, 1-3 years 13.1%, 3+ years 5.6%.</w:t>
      </w:r>
    </w:p>
    <w:p>
      <w:r>
        <w:t>This profile is consistent with the high-tech SaaS sector.</w:t>
      </w:r>
    </w:p>
    <w:p/>
    <w:p>
      <w:r>
        <w:t>7.3 Diversity and Inclusion (D&amp;I) Metrics</w:t>
      </w:r>
    </w:p>
    <w:p>
      <w:r>
        <w:t>The COO reviewed the Q3 FY2026 D&amp;I dashboard, which feeds into the</w:t>
      </w:r>
    </w:p>
    <w:p>
      <w:r>
        <w:t>annual D&amp;I report prepared for the Board's Remuneration and Nominating</w:t>
      </w:r>
    </w:p>
    <w:p>
      <w:r>
        <w:t>Committee:</w:t>
      </w:r>
    </w:p>
    <w:p/>
    <w:p>
      <w:r>
        <w:t xml:space="preserve">  (a) Gender diversity:</w:t>
      </w:r>
    </w:p>
    <w:p>
      <w:pPr>
        <w:pStyle w:val="ListBullet"/>
      </w:pPr>
      <w:r>
        <w:t>Overall workforce: 51% women, 49% men (vs. 47% / 53% in Q3 FY25)</w:t>
      </w:r>
    </w:p>
    <w:p>
      <w:pPr>
        <w:pStyle w:val="ListBullet"/>
      </w:pPr>
      <w:r>
        <w:t>Engineering function (commonly lagging): 42% women engineers,</w:t>
      </w:r>
    </w:p>
    <w:p>
      <w:r>
        <w:t xml:space="preserve">        up from 36% in Q3 FY25, against 2027 target 45%</w:t>
      </w:r>
    </w:p>
    <w:p>
      <w:pPr>
        <w:pStyle w:val="ListBullet"/>
      </w:pPr>
      <w:r>
        <w:t>Executive team (CxOs + VPs reporting directly to CEO): 4 of 9</w:t>
      </w:r>
    </w:p>
    <w:p>
      <w:r>
        <w:t xml:space="preserve">        (44.4%) are women</w:t>
      </w:r>
    </w:p>
    <w:p>
      <w:pPr>
        <w:pStyle w:val="ListBullet"/>
      </w:pPr>
      <w:r>
        <w:t>Board of Directors: 5 of 7 (71.4%) are women and/or independent</w:t>
      </w:r>
    </w:p>
    <w:p>
      <w:r>
        <w:t xml:space="preserve">        directors (specifically: 3 women + 2 independent men = 5/7</w:t>
      </w:r>
    </w:p>
    <w:p>
      <w:r>
        <w:t xml:space="preserve">        independent or women). Meets the mandatory 50% threshold under</w:t>
      </w:r>
    </w:p>
    <w:p>
      <w:r>
        <w:t xml:space="preserve">        the upcoming SGX listing diversity rules, should the company</w:t>
      </w:r>
    </w:p>
    <w:p>
      <w:r>
        <w:t xml:space="preserve">        proceed with IPO at a future date.</w:t>
      </w:r>
    </w:p>
    <w:p/>
    <w:p>
      <w:r>
        <w:t xml:space="preserve">  (b) Ethnicity / Nationality: 26 nationalities represented in the 317</w:t>
      </w:r>
    </w:p>
    <w:p>
      <w:r>
        <w:t xml:space="preserve">      FTE workforce. Top 5: Singaporean (34%), Indian (23%), Japanese</w:t>
      </w:r>
    </w:p>
    <w:p>
      <w:r>
        <w:t xml:space="preserve">      (11%), UK/Ireland (8%), US/Canadian (7%).</w:t>
      </w:r>
    </w:p>
    <w:p>
      <w:r>
        <w:t xml:space="preserve">  (c) Age profile: 22–30 41%, 31–40 38%, 41–50 14%, 51+ 7%. Median age</w:t>
      </w:r>
    </w:p>
    <w:p>
      <w:r>
        <w:t xml:space="preserve">      31.8 years.</w:t>
      </w:r>
    </w:p>
    <w:p>
      <w:r>
        <w:t xml:space="preserve">  (d) LGBTQ+ self-identification: 8.4% (voluntary self-declaration rate</w:t>
      </w:r>
    </w:p>
    <w:p>
      <w:r>
        <w:t xml:space="preserve">      on the self-ID form: 92.1%).</w:t>
      </w:r>
    </w:p>
    <w:p/>
    <w:p>
      <w:r>
        <w:t>7.4 Job Architecture Refresh Completion</w:t>
      </w:r>
    </w:p>
    <w:p>
      <w:r>
        <w:t>The COO confirmed that the company-wide job architecture refresh</w:t>
      </w:r>
    </w:p>
    <w:p>
      <w:r>
        <w:t>(commenced in April 2026, conducted with external consultant Aon</w:t>
      </w:r>
    </w:p>
    <w:p>
      <w:r>
        <w:t>Hewitt) was on schedule for completion by 31 October 2026. Deliverables</w:t>
      </w:r>
    </w:p>
    <w:p>
      <w:r>
        <w:t>to date:</w:t>
      </w:r>
    </w:p>
    <w:p>
      <w:pPr>
        <w:pStyle w:val="ListBullet"/>
      </w:pPr>
      <w:r>
        <w:t>Grade and level definitions for all 9 function families (38 job</w:t>
      </w:r>
    </w:p>
    <w:p>
      <w:r>
        <w:t xml:space="preserve">    families total) finalised and signed off by all ELT members</w:t>
      </w:r>
    </w:p>
    <w:p>
      <w:pPr>
        <w:pStyle w:val="ListBullet"/>
      </w:pPr>
      <w:r>
        <w:t>Pay matrix v4.1 (Appendix A of Employee Handbook v4.2) implemented</w:t>
      </w:r>
    </w:p>
    <w:p>
      <w:r>
        <w:t xml:space="preserve">    on 1 August 2026, with pay-band corrections to 37 employees below</w:t>
      </w:r>
    </w:p>
    <w:p>
      <w:r>
        <w:t xml:space="preserve">    the minimum of their new band (cost: S$285,000 per annum, fully</w:t>
      </w:r>
    </w:p>
    <w:p>
      <w:r>
        <w:t xml:space="preserve">    absorbed in FY2027 payroll budget baseline)</w:t>
      </w:r>
    </w:p>
    <w:p>
      <w:pPr>
        <w:pStyle w:val="ListBullet"/>
      </w:pPr>
      <w:r>
        <w:t>Remaining deliverables: Final mapping of all 317 FTEs to new job</w:t>
      </w:r>
    </w:p>
    <w:p>
      <w:r>
        <w:t xml:space="preserve">    titles, publication of career ladders on the internal People Hub,</w:t>
      </w:r>
    </w:p>
    <w:p>
      <w:r>
        <w:t xml:space="preserve">    and organisation-wide rollout session (target: 22 October 2026,</w:t>
      </w:r>
    </w:p>
    <w:p>
      <w:r>
        <w:t xml:space="preserve">    full-day "Career Growth at DBizLabs" Town Hall at Marina One Great</w:t>
      </w:r>
    </w:p>
    <w:p>
      <w:r>
        <w:t xml:space="preserve">    Room + virtual stream for regional offices).</w:t>
      </w:r>
    </w:p>
    <w:p/>
    <w:p>
      <w:r>
        <w:t>================================================================================</w:t>
      </w:r>
    </w:p>
    <w:p>
      <w:r>
        <w:t>ITEM 8: RISK &amp; COMPLIANCE UPDATE (10:55–11:15)</w:t>
      </w:r>
    </w:p>
    <w:p>
      <w:r>
        <w:t>================================================================================</w:t>
      </w:r>
    </w:p>
    <w:p/>
    <w:p>
      <w:r>
        <w:t>Ms. Priya Venkatesh, Head of Internal Audit &amp; Risk, presented the Risk</w:t>
      </w:r>
    </w:p>
    <w:p>
      <w:r>
        <w:t>and Compliance update (Board Pack Tab H, 31 slides including the Q3</w:t>
      </w:r>
    </w:p>
    <w:p>
      <w:r>
        <w:t>updated Risk Register heatmap).</w:t>
      </w:r>
    </w:p>
    <w:p/>
    <w:p>
      <w:r>
        <w:t>8.1 Singapore AI Governance Act — Impact Assessment (Phase 1)</w:t>
      </w:r>
    </w:p>
    <w:p>
      <w:r>
        <w:t>Ms. Venkatesh tabled the Phase 1 report of the Singapore AI Governance</w:t>
      </w:r>
    </w:p>
    <w:p>
      <w:r>
        <w:t>Act impact assessment (Action Item 47-09, status In Progress — 9 Sep</w:t>
      </w:r>
    </w:p>
    <w:p>
      <w:r>
        <w:t>2026 version distributed under separate cover to all Board members).</w:t>
      </w:r>
    </w:p>
    <w:p/>
    <w:p>
      <w:r>
        <w:t>Key summary:</w:t>
      </w:r>
    </w:p>
    <w:p>
      <w:pPr>
        <w:pStyle w:val="ListBullet"/>
      </w:pPr>
      <w:r>
        <w:t>Systems classification: 24 individual AI deployments identified</w:t>
      </w:r>
    </w:p>
    <w:p>
      <w:r>
        <w:t xml:space="preserve">    across the 3 product lines. Tiering per the First Schedule of the</w:t>
      </w:r>
    </w:p>
    <w:p>
      <w:r>
        <w:t xml:space="preserve">    Act (passed by Parliament 20 Nov 2025, in force 1 Feb 2027, with</w:t>
      </w:r>
    </w:p>
    <w:p>
      <w:r>
        <w:t xml:space="preserve">    12-month transition period):</w:t>
      </w:r>
    </w:p>
    <w:p>
      <w:pPr>
        <w:pStyle w:val="ListBullet"/>
      </w:pPr>
      <w:r>
        <w:t>Tier 3 (High Risk — mandatory conformity assessment): 3</w:t>
      </w:r>
    </w:p>
    <w:p>
      <w:r>
        <w:t xml:space="preserve">          systems: (i) Hirethm Candidate Shortlisting and Ranking</w:t>
      </w:r>
    </w:p>
    <w:p>
      <w:r>
        <w:t xml:space="preserve">          module, (ii) Meiji MES Predictive Quality AI (when used as</w:t>
      </w:r>
    </w:p>
    <w:p>
      <w:r>
        <w:t xml:space="preserve">          basis for release-to-customer decisions), (iii) Bond Copilot</w:t>
      </w:r>
    </w:p>
    <w:p>
      <w:r>
        <w:t xml:space="preserve">          pre-trade compliance check engine.</w:t>
      </w:r>
    </w:p>
    <w:p>
      <w:pPr>
        <w:pStyle w:val="ListBullet"/>
      </w:pPr>
      <w:r>
        <w:t>Tier 2 (Moderate Risk — transparency and record-keeping): 11</w:t>
      </w:r>
    </w:p>
    <w:p>
      <w:r>
        <w:t xml:space="preserve">          systems, including general Agentic Copilot, OEE root cause</w:t>
      </w:r>
    </w:p>
    <w:p>
      <w:r>
        <w:t xml:space="preserve">          alerts, Bond yield curve scenario simulations.</w:t>
      </w:r>
    </w:p>
    <w:p>
      <w:pPr>
        <w:pStyle w:val="ListBullet"/>
      </w:pPr>
      <w:r>
        <w:t>Tier 1 (Low Risk): 10 consumer-facing chat and FAQ assistants.</w:t>
      </w:r>
    </w:p>
    <w:p>
      <w:pPr>
        <w:pStyle w:val="ListBullet"/>
      </w:pPr>
      <w:r>
        <w:t>Action items identified to date: 47 individual remediation items.</w:t>
      </w:r>
    </w:p>
    <w:p>
      <w:r>
        <w:t xml:space="preserve">    Priority 1 (before 1 Feb 2027): 22 items.</w:t>
      </w:r>
    </w:p>
    <w:p>
      <w:pPr>
        <w:pStyle w:val="ListBullet"/>
      </w:pPr>
      <w:r>
        <w:t>Estimated cost of compliance programme (technology, process,</w:t>
      </w:r>
    </w:p>
    <w:p>
      <w:r>
        <w:t xml:space="preserve">    people, external conformity assessments for Tier 3 systems): S$1.98</w:t>
      </w:r>
    </w:p>
    <w:p>
      <w:r>
        <w:t xml:space="preserve">    million over the 12 months to 30 September 2027.</w:t>
      </w:r>
    </w:p>
    <w:p/>
    <w:p>
      <w:r>
        <w:t xml:space="preserve">  UNANIMOUS BOARD RESOLUTION B-48-06:</w:t>
      </w:r>
    </w:p>
    <w:p>
      <w:r>
        <w:t xml:space="preserve">    RESOLVED THAT the Phase 1 SG AI Governance Act Impact Assessment</w:t>
      </w:r>
    </w:p>
    <w:p>
      <w:r>
        <w:t xml:space="preserve">    report dated 9 September 2026 (Tab H, Annex 2) be and is hereby</w:t>
      </w:r>
    </w:p>
    <w:p>
      <w:r>
        <w:t xml:space="preserve">    NOTED AND APPROVED, and the proposed remediation budget of up to</w:t>
      </w:r>
    </w:p>
    <w:p>
      <w:r>
        <w:t xml:space="preserve">    S$2.0 million over the period 1 Oct 2026 to 30 Sep 2027 is hereby</w:t>
      </w:r>
    </w:p>
    <w:p>
      <w:r>
        <w:t xml:space="preserve">    authorised for expenditure, with monthly progress reporting to the</w:t>
      </w:r>
    </w:p>
    <w:p>
      <w:r>
        <w:t xml:space="preserve">    Audit &amp; Risk Committee and a further substantive update to the</w:t>
      </w:r>
    </w:p>
    <w:p>
      <w:r>
        <w:t xml:space="preserve">    Board at the 11 December 2026 meeting.</w:t>
      </w:r>
    </w:p>
    <w:p/>
    <w:p>
      <w:r>
        <w:t xml:space="preserve">  Voting: 7-0-0. CARRIED UNANIMOUSLY.</w:t>
      </w:r>
    </w:p>
    <w:p/>
    <w:p>
      <w:r>
        <w:t>8.2 Data Protection Audit (PDPA) — Findings</w:t>
      </w:r>
    </w:p>
    <w:p>
      <w:r>
        <w:t>The semi-annual PDPA compliance audit (conducted by external consultant</w:t>
      </w:r>
    </w:p>
    <w:p>
      <w:r>
        <w:t>CS Privacy Consulting Pte. Ltd., 12–23 August 2026) identified 12</w:t>
      </w:r>
    </w:p>
    <w:p>
      <w:r>
        <w:t>findings in total:</w:t>
      </w:r>
    </w:p>
    <w:p/>
    <w:p>
      <w:r>
        <w:t xml:space="preserve">  Severity breakdown: 0 CRITICAL, 2 HIGH, 6 MEDIUM, 4 LOW.</w:t>
      </w:r>
    </w:p>
    <w:p/>
    <w:p>
      <w:r>
        <w:t xml:space="preserve">  Status of findings as at 11 September 2026:</w:t>
      </w:r>
    </w:p>
    <w:p>
      <w:pPr>
        <w:pStyle w:val="ListBullet"/>
      </w:pPr>
      <w:r>
        <w:t>8 of 12 findings: CLOSED and remediated</w:t>
      </w:r>
    </w:p>
    <w:p>
      <w:pPr>
        <w:pStyle w:val="ListBullet"/>
      </w:pPr>
      <w:r>
        <w:t>4 of 12 findings: IN PROGRESS, with committed remediation dates on</w:t>
      </w:r>
    </w:p>
    <w:p>
      <w:r>
        <w:t xml:space="preserve">    or before 30 September 2026</w:t>
      </w:r>
    </w:p>
    <w:p/>
    <w:p>
      <w:r>
        <w:t xml:space="preserve">  The 4 open findings were (all Medium severity):</w:t>
      </w:r>
    </w:p>
    <w:p>
      <w:r>
        <w:t xml:space="preserve">    (a) Insufficient redaction of free-text resume fields in Hirethm</w:t>
      </w:r>
    </w:p>
    <w:p>
      <w:r>
        <w:t xml:space="preserve">        staging DB — PII (NRIC, passport numbers) visible to QA</w:t>
      </w:r>
    </w:p>
    <w:p>
      <w:r>
        <w:t xml:space="preserve">        engineers not under production access policy. Owner: Head of</w:t>
      </w:r>
    </w:p>
    <w:p>
      <w:r>
        <w:t xml:space="preserve">        Engineering, Hirethm. Remediation: Automated PII-scrubbing</w:t>
      </w:r>
    </w:p>
    <w:p>
      <w:r>
        <w:t xml:space="preserve">        pipeline deployed to staging environments by 27 Sep 2026.</w:t>
      </w:r>
    </w:p>
    <w:p>
      <w:r>
        <w:t xml:space="preserve">    (b) Vendor HR background-check provider (SwiftCheck) did not yet</w:t>
      </w:r>
    </w:p>
    <w:p>
      <w:r>
        <w:t xml:space="preserve">        have a signed 2026 Data Processing Agreement (DPA) annex</w:t>
      </w:r>
    </w:p>
    <w:p>
      <w:r>
        <w:t xml:space="preserve">        updated to reflect the new PDPA transfer impact assessment for</w:t>
      </w:r>
    </w:p>
    <w:p>
      <w:r>
        <w:t xml:space="preserve">        cross-border transfer to Malaysia data centre. Owner: Head of</w:t>
      </w:r>
    </w:p>
    <w:p>
      <w:r>
        <w:t xml:space="preserve">        People Ops. Remediation: Signed DPA by 29 Sep 2026.</w:t>
      </w:r>
    </w:p>
    <w:p>
      <w:r>
        <w:t xml:space="preserve">    (c) 7 of 92 employee laptops reviewed had stale personal data of</w:t>
      </w:r>
    </w:p>
    <w:p>
      <w:r>
        <w:t xml:space="preserve">        former employees on local drives in violation of retention</w:t>
      </w:r>
    </w:p>
    <w:p>
      <w:r>
        <w:t xml:space="preserve">        schedule. Owner: Head of IT Ops. Remediation: Automated device</w:t>
      </w:r>
    </w:p>
    <w:p>
      <w:r>
        <w:t xml:space="preserve">        scan + purging policy + 7 device rebuilds by 30 Sep 2026.</w:t>
      </w:r>
    </w:p>
    <w:p>
      <w:r>
        <w:t xml:space="preserve">    (d) Bond Copilot customer data export logging for one EU tenant</w:t>
      </w:r>
    </w:p>
    <w:p>
      <w:r>
        <w:t xml:space="preserve">        missed 3 audit events during the 22 Jul EU cluster migration</w:t>
      </w:r>
    </w:p>
    <w:p>
      <w:r>
        <w:t xml:space="preserve">        window. Owner: Head of SecOps. Remediation: Manual log</w:t>
      </w:r>
    </w:p>
    <w:p>
      <w:r>
        <w:t xml:space="preserve">        recreation + permanent enhanced export alerting by 26 Sep 2026.</w:t>
      </w:r>
    </w:p>
    <w:p/>
    <w:p>
      <w:r>
        <w:t xml:space="preserve">  Head of Legal (Santhana Krishnan) confirmed that none of the 12</w:t>
      </w:r>
    </w:p>
    <w:p>
      <w:r>
        <w:t xml:space="preserve">  findings individually or collectively gave rise to a notifiable data</w:t>
      </w:r>
    </w:p>
    <w:p>
      <w:r>
        <w:t xml:space="preserve">  breach under PDPA Section 26, and no notification to PDPC was or is</w:t>
      </w:r>
    </w:p>
    <w:p>
      <w:r>
        <w:t xml:space="preserve">  required.</w:t>
      </w:r>
    </w:p>
    <w:p/>
    <w:p>
      <w:r>
        <w:t>8.3 Cyber Security Ransomware Drill — 26 August 2026</w:t>
      </w:r>
    </w:p>
    <w:p>
      <w:r>
        <w:t>Head of IA presented the post-incident report of the full tabletop +</w:t>
      </w:r>
    </w:p>
    <w:p>
      <w:r>
        <w:t>technical ransomware recovery drill conducted on 26 August 2026, between</w:t>
      </w:r>
    </w:p>
    <w:p>
      <w:r>
        <w:t>14:00 and 17:12 SGT.</w:t>
      </w:r>
    </w:p>
    <w:p/>
    <w:p>
      <w:r>
        <w:t>Summary of drill:</w:t>
      </w:r>
    </w:p>
    <w:p>
      <w:pPr>
        <w:pStyle w:val="ListBullet"/>
      </w:pPr>
      <w:r>
        <w:t>Scenario: Sophisticated "double extortion" ransomware (modelled on</w:t>
      </w:r>
    </w:p>
    <w:p>
      <w:r>
        <w:t xml:space="preserve">    the BlackCat/ALPHV variant) encrypted the primary ap-southeast-1</w:t>
      </w:r>
    </w:p>
    <w:p>
      <w:r>
        <w:t xml:space="preserve">    PostgreSQL volume, with simulated threat actor exfiltrating 120 GB</w:t>
      </w:r>
    </w:p>
    <w:p>
      <w:r>
        <w:t xml:space="preserve">    of sample non-production test data before encryption and posting a</w:t>
      </w:r>
    </w:p>
    <w:p>
      <w:r>
        <w:t xml:space="preserve">    S$4.8 million ransom demand.</w:t>
      </w:r>
    </w:p>
    <w:p>
      <w:pPr>
        <w:pStyle w:val="ListBullet"/>
      </w:pPr>
      <w:r>
        <w:t>Crisis response activation: CTO declared P1 incident at 14:03. CMT</w:t>
      </w:r>
    </w:p>
    <w:p>
      <w:r>
        <w:t xml:space="preserve">    fully assembled by 14:09 (exceeded 15-minute target by 6 seconds).</w:t>
      </w:r>
    </w:p>
    <w:p>
      <w:pPr>
        <w:pStyle w:val="ListBullet"/>
      </w:pPr>
      <w:r>
        <w:t>Recovery actions:</w:t>
      </w:r>
    </w:p>
    <w:p>
      <w:r>
        <w:t xml:space="preserve">    (a) Isolated affected Kubernetes namespaces at 14:12</w:t>
      </w:r>
    </w:p>
    <w:p>
      <w:r>
        <w:t xml:space="preserve">    (b) Failover to eu-west-1 standby cluster (regional DNS cutover)</w:t>
      </w:r>
    </w:p>
    <w:p>
      <w:r>
        <w:t xml:space="preserve">        completed at 15:38 — customer-facing tenant dashboards back</w:t>
      </w:r>
    </w:p>
    <w:p>
      <w:r>
        <w:t xml:space="preserve">        online read-only by 15:47</w:t>
      </w:r>
    </w:p>
    <w:p>
      <w:r>
        <w:t xml:space="preserve">    (c) Full primary restore from immutable AWS S3 Glacier backups</w:t>
      </w:r>
    </w:p>
    <w:p>
      <w:r>
        <w:t xml:space="preserve">        (30 Aug 2026 01:45 snapshot) completed at 17:08</w:t>
      </w:r>
    </w:p>
    <w:p>
      <w:r>
        <w:t xml:space="preserve">    (d) Validation of all 142 production tenant schemas complete, zero</w:t>
      </w:r>
    </w:p>
    <w:p>
      <w:r>
        <w:t xml:space="preserve">        data loss, integrity verified.</w:t>
      </w:r>
    </w:p>
    <w:p>
      <w:pPr>
        <w:pStyle w:val="ListBullet"/>
      </w:pPr>
      <w:r>
        <w:t>Drill official recovery time: 3 hours 12 minutes (from initial</w:t>
      </w:r>
    </w:p>
    <w:p>
      <w:r>
        <w:t xml:space="preserve">    encryption declaration to full primary-cluster validated</w:t>
      </w:r>
    </w:p>
    <w:p>
      <w:r>
        <w:t xml:space="preserve">    production availability). Target: &lt; 4 hours — PASSED.</w:t>
      </w:r>
    </w:p>
    <w:p>
      <w:pPr>
        <w:pStyle w:val="ListBullet"/>
      </w:pPr>
      <w:r>
        <w:t>Lessons identified (8 items, all non-critical, owners and dates</w:t>
      </w:r>
    </w:p>
    <w:p>
      <w:r>
        <w:t xml:space="preserve">    assigned, latest 31 Oct 2026). Most notable: Immutable backup</w:t>
      </w:r>
    </w:p>
    <w:p>
      <w:r>
        <w:t xml:space="preserve">    snapshots should be increased from 24-hour cadence to 6-hour</w:t>
      </w:r>
    </w:p>
    <w:p>
      <w:r>
        <w:t xml:space="preserve">    cadence for the most critical Tier 3 tenant datasets; cost impact</w:t>
      </w:r>
    </w:p>
    <w:p>
      <w:r>
        <w:t xml:space="preserve">    S$7,200 per annum approved by CFO verbally during the meeting.</w:t>
      </w:r>
    </w:p>
    <w:p/>
    <w:p>
      <w:r>
        <w:t>8.4 Vendor Due Diligence — High-Risk Re-bidding</w:t>
      </w:r>
    </w:p>
    <w:p>
      <w:r>
        <w:t>The Q3 vendor tiering review reclassified 3 existing vendors as HIGH</w:t>
      </w:r>
    </w:p>
    <w:p>
      <w:r>
        <w:t>RISK under the DBizLabs Third-Party Risk Management Framework (v2.1):</w:t>
      </w:r>
    </w:p>
    <w:p>
      <w:pPr>
        <w:pStyle w:val="ListBullet"/>
      </w:pPr>
      <w:r>
        <w:t>Vendor V-0147: Third-party customer support BPO (Philippines).</w:t>
      </w:r>
    </w:p>
    <w:p>
      <w:r>
        <w:t xml:space="preserve">    Re-bid tender issued 4 Sep; proposals due 25 Sep. Shortlist 4.</w:t>
      </w:r>
    </w:p>
    <w:p>
      <w:pPr>
        <w:pStyle w:val="ListBullet"/>
      </w:pPr>
      <w:r>
        <w:t>Vendor V-0208: Background screening provider (SwiftCheck).</w:t>
      </w:r>
    </w:p>
    <w:p>
      <w:r>
        <w:t xml:space="preserve">    Partially addressed under open finding 8.2(b) with renewed DPA;</w:t>
      </w:r>
    </w:p>
    <w:p>
      <w:r>
        <w:t xml:space="preserve">    re-tendering this vendor in parallel.</w:t>
      </w:r>
    </w:p>
    <w:p>
      <w:pPr>
        <w:pStyle w:val="ListBullet"/>
      </w:pPr>
      <w:r>
        <w:t>Vendor V-0233: Cloud-based payroll services vendor for India</w:t>
      </w:r>
    </w:p>
    <w:p>
      <w:r>
        <w:t xml:space="preserve">    entity. Re-bid underway; contract expires 31 Dec 2026.</w:t>
      </w:r>
    </w:p>
    <w:p/>
    <w:p>
      <w:r>
        <w:t>All 3 re-bids will complete evaluation and award recommendation by the</w:t>
      </w:r>
    </w:p>
    <w:p>
      <w:r>
        <w:t>31 October 2026 Board Audit &amp; Risk Committee meeting.</w:t>
      </w:r>
    </w:p>
    <w:p/>
    <w:p>
      <w:r>
        <w:t>8.5 Foreign Exchange Exposure Sensitivity</w:t>
      </w:r>
    </w:p>
    <w:p>
      <w:r>
        <w:t>Head of IA reported that the updated Q3 FX sensitivity analysis (also</w:t>
      </w:r>
    </w:p>
    <w:p>
      <w:r>
        <w:t>referenced by CFO under Item 4) showed:</w:t>
      </w:r>
    </w:p>
    <w:p>
      <w:pPr>
        <w:pStyle w:val="ListBullet"/>
      </w:pPr>
      <w:r>
        <w:t>Outstanding unhedged USD-denominated exposure: S$4.2 million (net</w:t>
      </w:r>
    </w:p>
    <w:p>
      <w:r>
        <w:t xml:space="preserve">    6-month forward view, revenue less cost hedges)</w:t>
      </w:r>
    </w:p>
    <w:p>
      <w:pPr>
        <w:pStyle w:val="ListBullet"/>
      </w:pPr>
      <w:r>
        <w:t>Sensitivity per 1% adverse SGD/USD movement (SGD weakening):</w:t>
      </w:r>
    </w:p>
    <w:p>
      <w:r>
        <w:t xml:space="preserve">    S$42,000 negative impact on quarterly EBITDA</w:t>
      </w:r>
    </w:p>
    <w:p>
      <w:pPr>
        <w:pStyle w:val="ListBullet"/>
      </w:pPr>
      <w:r>
        <w:t>Current 1-year Value-at-Risk (95th percentile, parametric VaR) for</w:t>
      </w:r>
    </w:p>
    <w:p>
      <w:r>
        <w:t xml:space="preserve">    the total FX book: S$186,000 — unchanged from Q2 and within the</w:t>
      </w:r>
    </w:p>
    <w:p>
      <w:r>
        <w:t xml:space="preserve">    Board-approved S$500,000 quarterly FX VaR appetite.</w:t>
      </w:r>
    </w:p>
    <w:p/>
    <w:p>
      <w:r>
        <w:t>The Board expressed satisfaction with all Item 8 updates and thanked</w:t>
      </w:r>
    </w:p>
    <w:p>
      <w:r>
        <w:t>Head of IA and Head of Legal for their thorough work in the quarter.</w:t>
      </w:r>
    </w:p>
    <w:p/>
    <w:p>
      <w:r>
        <w:t>================================================================================</w:t>
      </w:r>
    </w:p>
    <w:p>
      <w:r>
        <w:t>ITEM 9: ANY OTHER BUSINESS (AOB) (11:15–11:25)</w:t>
      </w:r>
    </w:p>
    <w:p>
      <w:r>
        <w:t>================================================================================</w:t>
      </w:r>
    </w:p>
    <w:p/>
    <w:p>
      <w:r>
        <w:t>9.1 CEO Dinner with Temasek Holdings CTO</w:t>
      </w:r>
    </w:p>
    <w:p>
      <w:r>
        <w:t>The CEO requested and received Board concurrence to host a private</w:t>
      </w:r>
    </w:p>
    <w:p>
      <w:r>
        <w:t>working dinner with Mr. Chia Song Hwee, Chief Technology Officer of</w:t>
      </w:r>
    </w:p>
    <w:p>
      <w:r>
        <w:t>Temasek Holdings (Private) Limited, on Thursday, 24 September 2026,</w:t>
      </w:r>
    </w:p>
    <w:p>
      <w:r>
        <w:t>19:00 at Odette Restaurant, National Gallery Singapore. Expected</w:t>
      </w:r>
    </w:p>
    <w:p>
      <w:r>
        <w:t>attendees: Temasek CTO + 2 of his investment team, DBizLabs CEO + CTO +</w:t>
      </w:r>
    </w:p>
    <w:p>
      <w:r>
        <w:t>Chairman. Estimated cost S$4,800 (well within the S$10k limit approved</w:t>
      </w:r>
    </w:p>
    <w:p>
      <w:r>
        <w:t>per single senior stakeholder engagement). Discussion topics expected:</w:t>
      </w:r>
    </w:p>
    <w:p>
      <w:r>
        <w:t>AI investment landscape in SG, potential commercial pilots of Bond</w:t>
      </w:r>
    </w:p>
    <w:p>
      <w:r>
        <w:t>Copilot within Temasek portfolio companies, and broad general exchange</w:t>
      </w:r>
    </w:p>
    <w:p>
      <w:r>
        <w:t>on AI safety/governance. No shareholder-specific matters.</w:t>
      </w:r>
    </w:p>
    <w:p/>
    <w:p>
      <w:r>
        <w:t>9.2 CTO Speaking at Singapore FinTech Festival 2026</w:t>
      </w:r>
    </w:p>
    <w:p>
      <w:r>
        <w:t>The CTO informed the Board that she had accepted an invitation to speak</w:t>
      </w:r>
    </w:p>
    <w:p>
      <w:r>
        <w:t>at the Singapore FinTech Festival 2026, 13 November 2026, on a panel</w:t>
      </w:r>
    </w:p>
    <w:p>
      <w:r>
        <w:t>entitled "Agentic AI in the Capital Markets: From RAG to Reasoning."</w:t>
      </w:r>
    </w:p>
    <w:p>
      <w:r>
        <w:t>The festival is organised by the Monetary Authority of Singapore and</w:t>
      </w:r>
    </w:p>
    <w:p>
      <w:r>
        <w:t>is one of the largest financial services conferences globally.</w:t>
      </w:r>
    </w:p>
    <w:p>
      <w:r>
        <w:t>Speaking slot: 45-minute panel at the AI in Finance Summit, 11:30 SGT.</w:t>
      </w:r>
    </w:p>
    <w:p>
      <w:r>
        <w:t>No remuneration; standard FOC pass + travel within SG. PR/marketing</w:t>
      </w:r>
    </w:p>
    <w:p>
      <w:r>
        <w:t>benefit for Bond Copilot and DBiz GPT estimated at S$120k+ equivalent</w:t>
      </w:r>
    </w:p>
    <w:p>
      <w:r>
        <w:t>ad value. Board thanked her in advance and wished her well.</w:t>
      </w:r>
    </w:p>
    <w:p/>
    <w:p>
      <w:r>
        <w:t>9.3 Annual General Meeting (AGM) FY2026 Date</w:t>
      </w:r>
    </w:p>
    <w:p>
      <w:r>
        <w:t>The Company Secretary, on behalf of the Chairman, circulated the</w:t>
      </w:r>
    </w:p>
    <w:p>
      <w:r>
        <w:t>proposed date for the FY2026 Annual General Meeting (covering the</w:t>
      </w:r>
    </w:p>
    <w:p>
      <w:r>
        <w:t>financial year 1 July 2025 – 30 June 2026, which is the statutory FY)</w:t>
      </w:r>
    </w:p>
    <w:p>
      <w:r>
        <w:t>as SATURDAY, 20 FEBRUARY 2027, 10:00 SGT, Level 22 Great Room, Marina</w:t>
      </w:r>
    </w:p>
    <w:p>
      <w:r>
        <w:t>One West Tower. Statutory deadline for holding the AGM is 4 months</w:t>
      </w:r>
    </w:p>
    <w:p>
      <w:r>
        <w:t>after the financial year-end (i.e. by 31 October 2026 for a 30 June</w:t>
      </w:r>
    </w:p>
    <w:p>
      <w:r>
        <w:t>FY-end), but the Company as a private exempt company with fewer than</w:t>
      </w:r>
    </w:p>
    <w:p>
      <w:r>
        <w:t>50 members and wholly owned by private investors had elected at last</w:t>
      </w:r>
    </w:p>
    <w:p>
      <w:r>
        <w:t>AGM to follow the Board-approved 20 Feb 2027 schedule for FY2026 with</w:t>
      </w:r>
    </w:p>
    <w:p>
      <w:r>
        <w:t>all member consents filed. Shareholder notifications will be despatched</w:t>
      </w:r>
    </w:p>
    <w:p>
      <w:r>
        <w:t>no later than 23 January 2027 in compliance with the Constitution.</w:t>
      </w:r>
    </w:p>
    <w:p>
      <w:r>
        <w:t>Directors were asked to hold the date.</w:t>
      </w:r>
    </w:p>
    <w:p/>
    <w:p>
      <w:r>
        <w:t>9.4 Investor Day — 18 March 2027</w:t>
      </w:r>
    </w:p>
    <w:p>
      <w:r>
        <w:t>The CEO proposed that the company host its first formal Investor Day</w:t>
      </w:r>
    </w:p>
    <w:p>
      <w:r>
        <w:t>for Series B investors, potential Series C candidates (should the</w:t>
      </w:r>
    </w:p>
    <w:p>
      <w:r>
        <w:t>company choose to raise), and selected analysts / strategic partners</w:t>
      </w:r>
    </w:p>
    <w:p>
      <w:r>
        <w:t>on THURSDAY, 18 MARCH 2027, at the Capella Singapore, Sentosa.</w:t>
      </w:r>
    </w:p>
    <w:p>
      <w:r>
        <w:t>Estimated attendance: 60–80 invitees. Agenda: 08:30 – 17:00 followed</w:t>
      </w:r>
    </w:p>
    <w:p>
      <w:r>
        <w:t>by cocktail reception. Board endorsed the concept in principle;</w:t>
      </w:r>
    </w:p>
    <w:p>
      <w:r>
        <w:t>detailed budget and agenda to be approved at the 11 December 2026</w:t>
      </w:r>
    </w:p>
    <w:p>
      <w:r>
        <w:t>Board meeting.</w:t>
      </w:r>
    </w:p>
    <w:p/>
    <w:p>
      <w:r>
        <w:t>9.5 Correspondence</w:t>
      </w:r>
    </w:p>
    <w:p>
      <w:r>
        <w:t>A letter from IRAS (dated 29 August 2026) regarding the FY2024 corporate</w:t>
      </w:r>
    </w:p>
    <w:p>
      <w:r>
        <w:t>income tax assessment, which had been resolved with no additional tax</w:t>
      </w:r>
    </w:p>
    <w:p>
      <w:r>
        <w:t>payable, was tabled by the CFO for information. No Board action required.</w:t>
      </w:r>
    </w:p>
    <w:p/>
    <w:p>
      <w:r>
        <w:t>No further items of AOB were raised.</w:t>
      </w:r>
    </w:p>
    <w:p/>
    <w:p>
      <w:r>
        <w:t>================================================================================</w:t>
      </w:r>
    </w:p>
    <w:p>
      <w:r>
        <w:t>ITEM 10: CONFIRMATION OF DATE OF NEXT MEETING (11:25–11:27)</w:t>
      </w:r>
    </w:p>
    <w:p>
      <w:r>
        <w:t>================================================================================</w:t>
      </w:r>
    </w:p>
    <w:p/>
    <w:p>
      <w:r>
        <w:t>The Chairman, on the recommendation of the Company Secretary, proposed</w:t>
      </w:r>
    </w:p>
    <w:p>
      <w:r>
        <w:t>the date of the 49th Regular Board Meeting as:</w:t>
      </w:r>
    </w:p>
    <w:p/>
    <w:p>
      <w:r>
        <w:t xml:space="preserve">  DATE:        FRIDAY, 11 DECEMBER 2026</w:t>
      </w:r>
    </w:p>
    <w:p>
      <w:r>
        <w:t xml:space="preserve">  TIME:        09:00 HOURS SGT</w:t>
      </w:r>
    </w:p>
    <w:p>
      <w:r>
        <w:t xml:space="preserve">  VENUE:       GREAT ROOM, LEVEL 22, MARINA ONE WEST TOWER,</w:t>
      </w:r>
    </w:p>
    <w:p>
      <w:r>
        <w:t xml:space="preserve">               SINGAPORE 018961.</w:t>
      </w:r>
    </w:p>
    <w:p/>
    <w:p>
      <w:r>
        <w:t>UNANIMOUS BOARD RESOLUTION B-48-07:</w:t>
      </w:r>
    </w:p>
    <w:p>
      <w:r>
        <w:t xml:space="preserve">  RESOLVED THAT the date, time, and venue for the 49th Regular Board</w:t>
      </w:r>
    </w:p>
    <w:p>
      <w:r>
        <w:t xml:space="preserve">  Meeting of DBizLabs Private Limited be fixed at Friday, 11 December</w:t>
      </w:r>
    </w:p>
    <w:p>
      <w:r>
        <w:t xml:space="preserve">  2026 at 09:00 hours SGT, at the Great Room, Level 22, Marina One West</w:t>
      </w:r>
    </w:p>
    <w:p>
      <w:r>
        <w:t xml:space="preserve">  Tower, 10 Marina Boulevard, Singapore 018961.</w:t>
      </w:r>
    </w:p>
    <w:p/>
    <w:p>
      <w:r>
        <w:t>Voting: 7-0-0. CARRIED UNANIMOUSLY.</w:t>
      </w:r>
    </w:p>
    <w:p/>
    <w:p>
      <w:r>
        <w:t>================================================================================</w:t>
      </w:r>
    </w:p>
    <w:p>
      <w:r>
        <w:t>ITEM 11: ADJOURNMENT (11:27–11:28)</w:t>
      </w:r>
    </w:p>
    <w:p>
      <w:r>
        <w:t>================================================================================</w:t>
      </w:r>
    </w:p>
    <w:p/>
    <w:p>
      <w:r>
        <w:t>There being no further business, the Chairman declared the 48th Regular</w:t>
      </w:r>
    </w:p>
    <w:p>
      <w:r>
        <w:t>Board Meeting of DBizLabs Private Limited adjourned at 11:28 hours SGT</w:t>
      </w:r>
    </w:p>
    <w:p>
      <w:r>
        <w:t>on Friday, 11 September 2026. The next meeting shall convene on 11</w:t>
      </w:r>
    </w:p>
    <w:p>
      <w:r>
        <w:t>December 2026 at 09:00 hours.</w:t>
      </w:r>
    </w:p>
    <w:p/>
    <w:p>
      <w:r>
        <w:t>Minutes prepared and circulated for review by the Company Secretary</w:t>
      </w:r>
    </w:p>
    <w:p>
      <w:r>
        <w:t>within 14 days of the meeting (by 25 September 2026). Directors to</w:t>
      </w:r>
    </w:p>
    <w:p>
      <w:r>
        <w:t>submit any corrections or confirm approval within 7 working days of</w:t>
      </w:r>
    </w:p>
    <w:p>
      <w:r>
        <w:t>circulation, failing which approval of Minutes is deemed to have been</w:t>
      </w:r>
    </w:p>
    <w:p>
      <w:r>
        <w:t>given.</w:t>
      </w:r>
    </w:p>
    <w:p/>
    <w:p>
      <w:r>
        <w:t>Signed:</w:t>
      </w:r>
    </w:p>
    <w:p>
      <w:r>
        <w:t>_____________________________     Date: ____________________</w:t>
      </w:r>
    </w:p>
    <w:p>
      <w:r>
        <w:t>Dr. Lingeswaran Arunasalam         Chairman of the Board</w:t>
      </w:r>
    </w:p>
    <w:p/>
    <w:p>
      <w:r>
        <w:t>_____________________________     Date: ____________________</w:t>
      </w:r>
    </w:p>
    <w:p>
      <w:r>
        <w:t>Ms. Sangeetha Murali               Company Secretary</w:t>
      </w:r>
    </w:p>
    <w:p>
      <w:r>
        <w:t>Rajah &amp; Tann LLP</w:t>
      </w:r>
    </w:p>
    <w:p/>
    <w:p>
      <w:r>
        <w:t>================================================================================</w:t>
      </w:r>
    </w:p>
    <w:p>
      <w:r>
        <w:t>ACTION ITEM REGISTER</w:t>
      </w:r>
    </w:p>
    <w:p>
      <w:r>
        <w:t>(Items arising from or continuing through the 11 September 2026 Meeting)</w:t>
      </w:r>
    </w:p>
    <w:p>
      <w:r>
        <w:t>================================================================================</w:t>
      </w:r>
    </w:p>
    <w:p/>
    <w:p>
      <w:r>
        <w:t>ID       Owner              Description                                                    Deadline         Status</w:t>
      </w:r>
    </w:p>
    <w:p>
      <w:r>
        <w:t>-------- ------------------ ------------------------------------------------------------- ---------------- ----------</w:t>
      </w:r>
    </w:p>
    <w:p>
      <w:r>
        <w:t>48-01    CFO                Implement FX hedge ratio increase to 60% of rolling 6-mo     31-Oct-2026      IN PROGRESS</w:t>
      </w:r>
    </w:p>
    <w:p>
      <w:r>
        <w:t xml:space="preserve">                        USD forecast receivables.</w:t>
      </w:r>
    </w:p>
    <w:p>
      <w:r>
        <w:t>48-02    LEGAL / CFO        Finalise Meiji Japan JV definitive agreements with           30-Nov-2026      NOT STARTED</w:t>
      </w:r>
    </w:p>
    <w:p>
      <w:r>
        <w:t xml:space="preserve">                        Nishimura &amp; Asahi (Japanese counsel) and Meiji Seika;</w:t>
      </w:r>
    </w:p>
    <w:p>
      <w:r>
        <w:t xml:space="preserve">                        submit signed draft JV Shareholders' Agreement to Board</w:t>
      </w:r>
    </w:p>
    <w:p>
      <w:r>
        <w:t xml:space="preserve">                        for approval before execution.</w:t>
      </w:r>
    </w:p>
    <w:p>
      <w:r>
        <w:t>48-03    CEO                Present Q4 FY2026 revenue, EBITDA, and cash guidance;        11-Dec-2026      NOT STARTED</w:t>
      </w:r>
    </w:p>
    <w:p>
      <w:r>
        <w:t xml:space="preserve">                        provide 9M FY2026 actuals + Q4 reforecast to Board.</w:t>
      </w:r>
    </w:p>
    <w:p>
      <w:r>
        <w:t>48-04    CFO                Submit R&amp;D tax claims (FY2025 basis period, S$2.84m) to      30-Sep-2026      ON TRACK</w:t>
      </w:r>
    </w:p>
    <w:p>
      <w:r>
        <w:t xml:space="preserve">                        IRAS via EY advisors; update RemCo with R&amp;D claims vs</w:t>
      </w:r>
    </w:p>
    <w:p>
      <w:r>
        <w:t xml:space="preserve">                        R&amp;D spend history by 25 Sep 2026.</w:t>
      </w:r>
    </w:p>
    <w:p>
      <w:r>
        <w:t>48-05    CTO                Lead SOC 2 Type II kick-off with Schellman on 14 Oct 2026;   14-May-2027      NOT STARTED</w:t>
      </w:r>
    </w:p>
    <w:p>
      <w:r>
        <w:t xml:space="preserve">                        deliver final report to Audit &amp; Risk Committee within</w:t>
      </w:r>
    </w:p>
    <w:p>
      <w:r>
        <w:t xml:space="preserve">                        10 working days of assessor draft.</w:t>
      </w:r>
    </w:p>
    <w:p>
      <w:r>
        <w:t>48-06    CTO + LEGAL        Complete SG AI Governance Act Phase 2 remediation plan        31-Oct-2026      NOT STARTED</w:t>
      </w:r>
    </w:p>
    <w:p>
      <w:r>
        <w:t xml:space="preserve">                        (22 Priority-1 items by 1 Feb 2027). Monthly reporting</w:t>
      </w:r>
    </w:p>
    <w:p>
      <w:r>
        <w:t xml:space="preserve">                        to A&amp;R Committee.</w:t>
      </w:r>
    </w:p>
    <w:p>
      <w:r>
        <w:t>48-07    COO                Deliver job architecture full company rollout and Town       31-Oct-2026      IN PROGRESS</w:t>
      </w:r>
    </w:p>
    <w:p>
      <w:r>
        <w:t xml:space="preserve">                        Hall by 31 Oct 2026; close all 37 below-minimum pay</w:t>
      </w:r>
    </w:p>
    <w:p>
      <w:r>
        <w:t xml:space="preserve">                        corrections in October payroll.</w:t>
      </w:r>
    </w:p>
    <w:p>
      <w:r>
        <w:t>48-08    IA                 Close all 4 remaining open PDPA audit findings by            30-Sep-2026      IN PROGRESS</w:t>
      </w:r>
    </w:p>
    <w:p>
      <w:r>
        <w:t xml:space="preserve">                        30 Sep 2026. Issue 1-page memo of closure to Board.</w:t>
      </w:r>
    </w:p>
    <w:p>
      <w:r>
        <w:t>48-09    IA / Procurement   Complete re-bidding of 3 high-risk vendors (V-0147,          31-Oct-2026      NOT STARTED</w:t>
      </w:r>
    </w:p>
    <w:p>
      <w:r>
        <w:t xml:space="preserve">                        V-0208, V-0233) and present award recommendations to</w:t>
      </w:r>
    </w:p>
    <w:p>
      <w:r>
        <w:t xml:space="preserve">                        Audit &amp; Risk Committee by 31 Oct 2026.</w:t>
      </w:r>
    </w:p>
    <w:p>
      <w:r>
        <w:t>48-10    CEO / CFO          Lead FY2027 budget process; present draft budget +           11-Dec-2026      NOT STARTED</w:t>
      </w:r>
    </w:p>
    <w:p>
      <w:r>
        <w:t xml:space="preserve">                        long-range plan (FY2027–FY2029) for Board approval at</w:t>
      </w:r>
    </w:p>
    <w:p>
      <w:r>
        <w:t xml:space="preserve">                        11 December 2026 meeting.</w:t>
      </w:r>
    </w:p>
    <w:p>
      <w:r>
        <w:t>48-11    CEO                Finalise FY2026 AGM Notice of Meeting, Directors'           23-Jan-2027      NOT STARTED</w:t>
      </w:r>
    </w:p>
    <w:p>
      <w:r>
        <w:t xml:space="preserve">                        Report, and Auditor's Report with Company Secretary;</w:t>
      </w:r>
    </w:p>
    <w:p>
      <w:r>
        <w:t xml:space="preserve">                        circulate to shareholders by 23 January 2027 in</w:t>
      </w:r>
    </w:p>
    <w:p>
      <w:r>
        <w:t xml:space="preserve">                        accordance with Constitution.</w:t>
      </w:r>
    </w:p>
    <w:p/>
    <w:p>
      <w:r>
        <w:t>Total action items as at close of 48th Board meeting: 11 items.</w:t>
      </w:r>
    </w:p>
    <w:p>
      <w:r>
        <w:t>Status breakdown: 0 Closed, 4 In Progress / On Track, 7 Not Started.</w:t>
      </w:r>
    </w:p>
    <w:p>
      <w:r>
        <w:t>No overdue items. Next action item review: Audit &amp; Risk Committee 6 Oct 2026</w:t>
      </w:r>
    </w:p>
    <w:p>
      <w:r>
        <w:t>and ELT Weekly Operations 21 Sep 2026.</w:t>
      </w:r>
    </w:p>
    <w:p/>
    <w:p>
      <w:r>
        <w:t>================================= END OF MINUTES 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