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DBizLabs Q3 FY2026 Financial Report</w:t>
      </w:r>
    </w:p>
    <w:p>
      <w:r>
        <w:t>*Reporting Period: 1 July 2026 – 30 September 2026*</w:t>
      </w:r>
    </w:p>
    <w:p/>
    <w:p>
      <w:r>
        <w:t>**Headquarters:** Marina One West Tower, Level 22, 10 Marina Boulevard, Singapore 018961</w:t>
      </w:r>
    </w:p>
    <w:p>
      <w:r>
        <w:t>**Board of Directors:** Dr. Lingeswaran Arunasalam (Chair), Nandhini Sivakumar (Independent Director), Siva Pasupathi (CEO), Amala Appathurai (CTO), Karthiga Rajoo (CFO), Divya Muthu (COO), Narmadha Sivakumar (CPO)</w:t>
      </w:r>
    </w:p>
    <w:p>
      <w:r>
        <w:t>**Report Date:** 10 October 2026</w:t>
      </w:r>
    </w:p>
    <w:p/>
    <w:p>
      <w:r>
        <w:t>---</w:t>
      </w:r>
    </w:p>
    <w:p/>
    <w:p>
      <w:pPr>
        <w:pStyle w:val="Heading2"/>
      </w:pPr>
      <w:r>
        <w:t>1. Executive Summary</w:t>
      </w:r>
    </w:p>
    <w:p/>
    <w:p>
      <w:r>
        <w:t>DBizLabs delivered a strong third quarter in FY2026 with total revenue reaching S$18.42 million, representing a 28.6% year-over-year increase compared to Q3 FY2025 (S$14.33 million). Growth was driven by accelerated enterprise adoption across all three flagship products: Meiji MES, Bond Copilot, and Hirethm HR SaaS.</w:t>
      </w:r>
    </w:p>
    <w:p/>
    <w:p>
      <w:r>
        <w:t>Gross profit margin expanded to 71.4%, up 180 basis points from 69.6% in the prior year period, reflecting improved SaaS leverage and disciplined cost management across professional services delivery. EBITDA came in at S$3.81 million (20.7% margin), compared to S$2.52 million (17.6% margin) in Q3 FY2025, demonstrating meaningful operating leverage as the business scales.</w:t>
      </w:r>
    </w:p>
    <w:p/>
    <w:p>
      <w:r>
        <w:t>Operating cash flow (OCF) was robust at S$4.22 million, translating to an OCF-to-EBITDA conversion ratio of 110.7%. Cash and cash equivalents on the balance sheet stood at S$23.6 million as of 30 September 2026, providing approximately 22 months of runway at the current operating expenditure run-rate. Days Sales Outstanding (DSO) improved to 68 days from 74 days in Q2 FY2026, reflecting enhanced collections discipline and favourable contract payment terms negotiated during the quarter.</w:t>
      </w:r>
    </w:p>
    <w:p/>
    <w:p>
      <w:r>
        <w:t>The company added 5 new customers with annual contract value (ACV) exceeding S$1.0 million during the quarter, bringing the total count of million-plus customers to 23 as of quarter-end. Geographically, APAC remained the dominant region at 54.8% of revenue, followed by EMEA (24.9%) and the Americas (20.3%), reflecting the company's balanced international expansion strategy.</w:t>
      </w:r>
    </w:p>
    <w:p/>
    <w:p>
      <w:r>
        <w:t>"We are very pleased with our Q3 performance, which underscores the durability of our AI-embedded product suite and the strength of our go-to-market motion across all three regions," said Siva Pasupathi, CEO of DBizLabs. "Meiji MES continues to take share in industrial manufacturing AI, Bond Copilot is now a standard tool in fixed-income trading desks across eight enterprise logos, and Hirethm is emerging as the HR AI platform of choice for mid-to-large APAC enterprises."</w:t>
      </w:r>
    </w:p>
    <w:p/>
    <w:p>
      <w:r>
        <w:t>---</w:t>
      </w:r>
    </w:p>
    <w:p/>
    <w:p>
      <w:pPr>
        <w:pStyle w:val="Heading2"/>
      </w:pPr>
      <w:r>
        <w:t>2. Revenue Analysis</w:t>
      </w:r>
    </w:p>
    <w:p/>
    <w:p>
      <w:pPr>
        <w:pStyle w:val="Heading3"/>
      </w:pPr>
      <w:r>
        <w:t>2.1 Product Revenue Split</w:t>
      </w:r>
    </w:p>
    <w:p/>
    <w:p>
      <w:r>
        <w:t>Revenue contribution by product line for Q3 FY2026:</w:t>
      </w:r>
    </w:p>
    <w:p/>
    <w:p>
      <w:r>
        <w:t>Product Line | Revenue (S$m) | % of Total Revenue | YoY Growth</w:t>
      </w:r>
    </w:p>
    <w:p>
      <w:r>
        <w:t>Meiji MES | 7.83 | 42.5% | +24.1%</w:t>
      </w:r>
    </w:p>
    <w:p>
      <w:r>
        <w:t>Bond Copilot | 4.83 | 26.2% | +41.7%</w:t>
      </w:r>
    </w:p>
    <w:p>
      <w:r>
        <w:t>Hirethm HR SaaS | 3.44 | 18.7% | +32.9%</w:t>
      </w:r>
    </w:p>
    <w:p>
      <w:r>
        <w:t>Professional Services (ProServe) | 1.86 | 10.1% | +12.0%</w:t>
      </w:r>
    </w:p>
    <w:p>
      <w:r>
        <w:t>Training &amp; Certification | 0.46 | 2.5% | +18.5%</w:t>
      </w:r>
    </w:p>
    <w:p>
      <w:r>
        <w:t>**Total Revenue** | **18.42** | **100.0%** | **+28.6%**</w:t>
      </w:r>
    </w:p>
    <w:p/>
    <w:p>
      <w:r>
        <w:t>Meiji MES maintained its position as the largest revenue contributor, driven by plant-wide deployments with Japanese and Southeast Asian manufacturing conglomerates. The OEE (Overall Equipment Effectiveness) module and AI-powered predictive quality analytics add-on were the strongest sub-components within Meiji, representing 38% and 27% of Meiji revenue respectively.</w:t>
      </w:r>
    </w:p>
    <w:p/>
    <w:p>
      <w:r>
        <w:t>Bond Copilot delivered the fastest year-over-year growth at 41.7%, fuelled by enterprise adoption from three global tier-1 banks and two sovereign wealth funds in the region. The Audit &amp; Compliance Pack add-on saw particularly strong uptake, with a 62% attach rate among new Bond Copilot enterprise customers during the quarter.</w:t>
      </w:r>
    </w:p>
    <w:p/>
    <w:p>
      <w:r>
        <w:t>Hirethm HR SaaS grew 32.9% YoY, driven by wins in the public sector and financial services verticals. The newly launched ATS v2 module and AI-powered candidate shortlisting feature contributed to a 14.3% average ACV uplift for new Hirethm deals closed in Q3.</w:t>
      </w:r>
    </w:p>
    <w:p/>
    <w:p>
      <w:r>
        <w:t>Professional Services revenue grew 12.0% YoY, a deliberate deceleration as the company continues to transition towards product-led growth with self-service onboarding and implementation accelerators. Training &amp; Certification revenue increased 18.5% YoY, supported by the launch of DBiz Academy's Bond Copilot Certified Administrator programme in August 2026.</w:t>
      </w:r>
    </w:p>
    <w:p/>
    <w:p>
      <w:pPr>
        <w:pStyle w:val="Heading3"/>
      </w:pPr>
      <w:r>
        <w:t>2.2 Geographic Revenue Split</w:t>
      </w:r>
    </w:p>
    <w:p/>
    <w:p>
      <w:r>
        <w:t>Region | Revenue (S$m) | % of Total | YoY Growth</w:t>
      </w:r>
    </w:p>
    <w:p>
      <w:r>
        <w:t>APAC | 10.09 | 54.8% | +26.3%</w:t>
      </w:r>
    </w:p>
    <w:p>
      <w:r>
        <w:t>EMEA | 4.59 | 24.9% | +33.1%</w:t>
      </w:r>
    </w:p>
    <w:p>
      <w:r>
        <w:t>Americas | 3.74 | 20.3% | +29.4%</w:t>
      </w:r>
    </w:p>
    <w:p>
      <w:r>
        <w:t>**Total** | **18.42** | **100.0%** | **+28.6%**</w:t>
      </w:r>
    </w:p>
    <w:p/>
    <w:p>
      <w:r>
        <w:t>APAC growth was led by Singapore (S$3.42m), Japan (S$2.41m), and India (S$1.94m). The signing of a non-binding term sheet with Meiji Japan for a strategic joint venture in the quarter positions DBizLabs for accelerated manufacturing AI penetration across the Japanese market.</w:t>
      </w:r>
    </w:p>
    <w:p/>
    <w:p>
      <w:r>
        <w:t>EMEA growth was led by the UK (S$1.38m), Germany (S$1.11m), and the UAE (S$0.76m). The Dubai office, opened in Q1 FY2026, is now fully operational with 14 headcount covering sales, pre-sales, and customer success for the Middle East and North Africa region.</w:t>
      </w:r>
    </w:p>
    <w:p/>
    <w:p>
      <w:r>
        <w:t>Americas revenue was concentrated in the US (S$2.91m) and Canada (S$0.57m), with the New York sales office contributing 78% of Americas ACV bookings during the quarter.</w:t>
      </w:r>
    </w:p>
    <w:p/>
    <w:p>
      <w:r>
        <w:t>---</w:t>
      </w:r>
    </w:p>
    <w:p/>
    <w:p>
      <w:pPr>
        <w:pStyle w:val="Heading2"/>
      </w:pPr>
      <w:r>
        <w:t>3. Profitability &amp; Margins</w:t>
      </w:r>
    </w:p>
    <w:p/>
    <w:p>
      <w:pPr>
        <w:pStyle w:val="Heading3"/>
      </w:pPr>
      <w:r>
        <w:t>3.1 Gross Profit and Gross Margin</w:t>
      </w:r>
    </w:p>
    <w:p/>
    <w:p>
      <w:r>
        <w:t>Gross profit in Q3 FY2026 was S$13.15 million, representing a gross margin of 71.4%, compared to S$9.98 million (69.6% gross margin) in Q3 FY2025. The 180 basis point improvement was driven by:</w:t>
      </w:r>
    </w:p>
    <w:p/>
    <w:p>
      <w:pPr>
        <w:pStyle w:val="ListBullet"/>
      </w:pPr>
      <w:r>
        <w:t>Higher SaaS revenue mix (87.4% vs. 84.8% in Q3 FY2025), carrying gross margins of 78–82%</w:t>
      </w:r>
    </w:p>
    <w:p>
      <w:pPr>
        <w:pStyle w:val="ListBullet"/>
      </w:pPr>
      <w:r>
        <w:t>Improved utilisation rates in ProServe services, with billable utilisation averaging 81.3% vs. 76.9% in the prior year</w:t>
      </w:r>
    </w:p>
    <w:p>
      <w:pPr>
        <w:pStyle w:val="ListBullet"/>
      </w:pPr>
      <w:r>
        <w:t>Optimised cloud infrastructure costs, with AWS and GCP spend per customer down 9.2% YoY following FinOps initiatives launched in Q1 FY2026</w:t>
      </w:r>
    </w:p>
    <w:p/>
    <w:p>
      <w:r>
        <w:t>By product line, gross margins were: Meiji MES 73.8%, Bond Copilot 76.2%, Hirethm 74.5%, ProServe 42.1%, and Training 58.3%.</w:t>
      </w:r>
    </w:p>
    <w:p/>
    <w:p>
      <w:pPr>
        <w:pStyle w:val="Heading3"/>
      </w:pPr>
      <w:r>
        <w:t>3.2 Operating Expenses</w:t>
      </w:r>
    </w:p>
    <w:p/>
    <w:p>
      <w:r>
        <w:t>Category | Q3 FY2026 (S$m) | % of Revenue | Q3 FY2025 (S$m) | YoY Change</w:t>
      </w:r>
    </w:p>
    <w:p>
      <w:r>
        <w:t>Research &amp; Development | 4.52 | 24.5% | 3.41 | +32.6%</w:t>
      </w:r>
    </w:p>
    <w:p>
      <w:r>
        <w:t>Sales &amp; Marketing | 3.34 | 18.1% | 2.79 | +19.7%</w:t>
      </w:r>
    </w:p>
    <w:p>
      <w:r>
        <w:t>General &amp; Administrative | 1.48 | 8.0% | 1.26 | +17.5%</w:t>
      </w:r>
    </w:p>
    <w:p>
      <w:r>
        <w:t>**Total Opex** | **9.34** | **50.7%** | **7.46** | **+25.2%**</w:t>
      </w:r>
    </w:p>
    <w:p/>
    <w:p>
      <w:r>
        <w:t>Total operating expenses grew 25.2% YoY, which was 340 basis points below revenue growth, demonstrating strong operating leverage. R&amp;D investment continued to accelerate at +32.6% YoY, reflecting strategic investments in the Agentic Copilot platform, domain-specific RAG infrastructure, and multi-region data residency capabilities.</w:t>
      </w:r>
    </w:p>
    <w:p/>
    <w:p>
      <w:pPr>
        <w:pStyle w:val="Heading3"/>
      </w:pPr>
      <w:r>
        <w:t>3.3 EBITDA</w:t>
      </w:r>
    </w:p>
    <w:p/>
    <w:p>
      <w:r>
        <w:t>Earnings Before Interest, Tax, Depreciation, and Amortisation (EBITDA) for Q3 FY2026 was S$3.81 million, representing an EBITDA margin of 20.7%. This compares to S$2.52 million (17.6% margin) in Q3 FY2025. The improvement reflects the benefit of gross margin expansion and disciplined opex management, with the adjusted EBITDA margin (excluding S$0.18 million of one-time JV advisory costs) standing at 21.7%.</w:t>
      </w:r>
    </w:p>
    <w:p/>
    <w:p>
      <w:r>
        <w:t>---</w:t>
      </w:r>
    </w:p>
    <w:p/>
    <w:p>
      <w:pPr>
        <w:pStyle w:val="Heading2"/>
      </w:pPr>
      <w:r>
        <w:t>4. Cash Flow &amp; Balance Sheet</w:t>
      </w:r>
    </w:p>
    <w:p/>
    <w:p>
      <w:pPr>
        <w:pStyle w:val="Heading3"/>
      </w:pPr>
      <w:r>
        <w:t>4.1 Operating Cash Flow</w:t>
      </w:r>
    </w:p>
    <w:p/>
    <w:p>
      <w:r>
        <w:t>Operating cash flow was S$4.22 million in Q3 FY2026, compared to S$3.01 million in Q3 FY2025. The conversion ratio of OCF-to-EBITDA was 110.7%, benefiting from:</w:t>
      </w:r>
    </w:p>
    <w:p/>
    <w:p>
      <w:pPr>
        <w:pStyle w:val="ListBullet"/>
      </w:pPr>
      <w:r>
        <w:t>S$1.21 million of advance payments received for Q4 and FY2027 contracts</w:t>
      </w:r>
    </w:p>
    <w:p>
      <w:pPr>
        <w:pStyle w:val="ListBullet"/>
      </w:pPr>
      <w:r>
        <w:t>S$0.64 million of receivables collected in excess of revenue during the month of September</w:t>
      </w:r>
    </w:p>
    <w:p>
      <w:pPr>
        <w:pStyle w:val="ListBullet"/>
      </w:pPr>
      <w:r>
        <w:t>Improved vendor payment terms with key cloud infrastructure providers (net-45 vs. net-30 prior)</w:t>
      </w:r>
    </w:p>
    <w:p/>
    <w:p>
      <w:r>
        <w:t>Capital expenditure (Capex) for the quarter was S$1.07 million, comprising S$0.72 million of cloud capacity expansion and infrastructure investments, S$0.23 million of internal-use software development costs, and S$0.12 million of office equipment and leasehold improvements. Free cash flow (OCF less Capex) was S$3.15 million, representing a free cash flow margin of 17.1%.</w:t>
      </w:r>
    </w:p>
    <w:p/>
    <w:p>
      <w:pPr>
        <w:pStyle w:val="Heading3"/>
      </w:pPr>
      <w:r>
        <w:t>4.2 Cash Position and Liquidity</w:t>
      </w:r>
    </w:p>
    <w:p/>
    <w:p>
      <w:r>
        <w:t>Cash and cash equivalents as at 30 September 2026 were S$23.6 million, compared to S$19.4 million at the end of Q2 FY2026 and S$15.8 million at the end of Q3 FY2025. The increase reflects strong OCF generation of S$4.22 million plus S$0.34 million of government R&amp;D grants received during the quarter.</w:t>
      </w:r>
    </w:p>
    <w:p/>
    <w:p>
      <w:r>
        <w:t>The company maintains a S$50.0 million commercial paper shelf programme (undrawn) with DBS Bank, OCBC Bank, and United Overseas Bank, providing additional liquidity headroom. Total debt outstanding was S$nil as at quarter-end, reflecting the company's net-cash balance-sheet position.</w:t>
      </w:r>
    </w:p>
    <w:p/>
    <w:p>
      <w:pPr>
        <w:pStyle w:val="Heading3"/>
      </w:pPr>
      <w:r>
        <w:t>4.3 Working Capital Metrics</w:t>
      </w:r>
    </w:p>
    <w:p/>
    <w:p>
      <w:r>
        <w:t>Metric | Q3 FY2026 | Q2 FY2026 | Q3 FY2025</w:t>
      </w:r>
    </w:p>
    <w:p>
      <w:r>
        <w:t>Days Sales Outstanding (DSO) | 68 days | 74 days | 79 days</w:t>
      </w:r>
    </w:p>
    <w:p>
      <w:r>
        <w:t>Days Payable Outstanding (DPO) | 42 days | 38 days | 33 days</w:t>
      </w:r>
    </w:p>
    <w:p>
      <w:r>
        <w:t>Cash Conversion Cycle (CCC) | 26 days | 36 days | 46 days</w:t>
      </w:r>
    </w:p>
    <w:p/>
    <w:p>
      <w:r>
        <w:t>The 6-day sequential reduction in DSO was driven by a dedicated collections task-force established during the quarter, with a particular focus on US and EU enterprise accounts where DSO had historically run 15–20 days above the APAC average. The target for Q4 FY2026 is to bring DSO below 65 days.</w:t>
      </w:r>
    </w:p>
    <w:p/>
    <w:p>
      <w:r>
        <w:t>---</w:t>
      </w:r>
    </w:p>
    <w:p/>
    <w:p>
      <w:pPr>
        <w:pStyle w:val="Heading2"/>
      </w:pPr>
      <w:r>
        <w:t>5. Headcount &amp; Organisation</w:t>
      </w:r>
    </w:p>
    <w:p/>
    <w:p>
      <w:r>
        <w:t>As of 30 September 2026, DBizLabs employed 317 full-time equivalent staff across 7 countries (Singapore, Japan, India, United Kingdom, United Arab Emirates, United States, and Germany).</w:t>
      </w:r>
    </w:p>
    <w:p/>
    <w:p>
      <w:r>
        <w:t>Headcount breakdown by function:</w:t>
      </w:r>
    </w:p>
    <w:p/>
    <w:p>
      <w:r>
        <w:t>Function | Headcount | % of Total | YoY Change</w:t>
      </w:r>
    </w:p>
    <w:p>
      <w:r>
        <w:t>Engineering + R&amp;D | 135 | 42.6% | +47</w:t>
      </w:r>
    </w:p>
    <w:p>
      <w:r>
        <w:t>Sales + Marketing | 71 | 22.4% | +21</w:t>
      </w:r>
    </w:p>
    <w:p>
      <w:r>
        <w:t>ProServe + Customer Success | 60 | 18.9% | +14</w:t>
      </w:r>
    </w:p>
    <w:p>
      <w:r>
        <w:t>General &amp; Administrative | 51 | 16.1% | +10</w:t>
      </w:r>
    </w:p>
    <w:p>
      <w:r>
        <w:t>**Total** | **317** | **100.0%** | **+92**</w:t>
      </w:r>
    </w:p>
    <w:p/>
    <w:p>
      <w:r>
        <w:t>Engineering and R&amp;D headcount grew the most in absolute terms (+47), reflecting continued investment in the DBiz GPT platform, Agentic Copilot, and multi-region AI infrastructure. Notable hires during the quarter included:</w:t>
      </w:r>
    </w:p>
    <w:p/>
    <w:p>
      <w:pPr>
        <w:pStyle w:val="ListBullet"/>
      </w:pPr>
      <w:r>
        <w:t>VP of Search Platform (formerly from Databricks) to lead the pgvector and hybrid RAG strategy</w:t>
      </w:r>
    </w:p>
    <w:p>
      <w:pPr>
        <w:pStyle w:val="ListBullet"/>
      </w:pPr>
      <w:r>
        <w:t>Director of AI Governance &amp; Safety to oversee SG AI Governance Act and EU AI Act compliance</w:t>
      </w:r>
    </w:p>
    <w:p>
      <w:pPr>
        <w:pStyle w:val="ListBullet"/>
      </w:pPr>
      <w:r>
        <w:t>Head of India Engineering, based in Bengaluru, to scale the 68-person India R&amp;D centre to a target of 100+ by FY2027 end</w:t>
      </w:r>
    </w:p>
    <w:p/>
    <w:p>
      <w:r>
        <w:t>Attrition on a trailing twelve-month basis was 11.2%, down from 14.5% at the end of FY2025. Diversity metrics continued to improve, with women representing 42% of engineering roles, 51% of the overall workforce, and 5 of 7 Board members being either independent directors or women.</w:t>
      </w:r>
    </w:p>
    <w:p/>
    <w:p>
      <w:r>
        <w:t>---</w:t>
      </w:r>
    </w:p>
    <w:p/>
    <w:p>
      <w:pPr>
        <w:pStyle w:val="Heading2"/>
      </w:pPr>
      <w:r>
        <w:t>6. FX Impact &amp; Macroeconomics</w:t>
      </w:r>
    </w:p>
    <w:p/>
    <w:p>
      <w:r>
        <w:t>The strengthening of the Singapore Dollar against the US Dollar during Q3 FY2026 (SGD/USD moved from 0.729 at quarter start to 0.746 at quarter end, representing a +2.3% move) had a net positive impact of S$0.12 million on reported revenue. Approximately 58% of DBizLabs revenue is denominated in USD, 26% in SGD, 10% in EUR, and 6% in JPY and GBP combined.</w:t>
      </w:r>
    </w:p>
    <w:p/>
    <w:p>
      <w:r>
        <w:t>The company currently hedges approximately 55% of its forecast USD-denominated receivables on a rolling 6-month basis using forward contracts, with an additional S$10.0 million of option-based collars protecting against adverse SGD/USD movements below 0.715 or above 0.765.</w:t>
      </w:r>
    </w:p>
    <w:p/>
    <w:p>
      <w:r>
        <w:t>A sensitivity analysis on unhedged exposures indicates that a 1% movement in SGD/USD has an approximate S$42,000 impact on quarterly EBITDA. For EUR/SGD, a 1% move is equivalent to approximately S$18,000 of EBITDA impact.</w:t>
      </w:r>
    </w:p>
    <w:p/>
    <w:p>
      <w:r>
        <w:t>---</w:t>
      </w:r>
    </w:p>
    <w:p/>
    <w:p>
      <w:pPr>
        <w:pStyle w:val="Heading2"/>
      </w:pPr>
      <w:r>
        <w:t>7. Q4 FY2026 Guidance &amp; FY2027 Outlook</w:t>
      </w:r>
    </w:p>
    <w:p/>
    <w:p>
      <w:pPr>
        <w:pStyle w:val="Heading3"/>
      </w:pPr>
      <w:r>
        <w:t>7.1 Q4 FY2026 Guidance</w:t>
      </w:r>
    </w:p>
    <w:p/>
    <w:p>
      <w:r>
        <w:t>For the fourth quarter ending 31 December 2026, DBizLabs provides the following guidance:</w:t>
      </w:r>
    </w:p>
    <w:p/>
    <w:p>
      <w:r>
        <w:t>Metric | Low End | High End | Implied YoY Growth</w:t>
      </w:r>
    </w:p>
    <w:p>
      <w:r>
        <w:t>Total Revenue | S$21.2 million | S$22.3 million | +25.3% to +31.8%</w:t>
      </w:r>
    </w:p>
    <w:p>
      <w:r>
        <w:t>Gross Margin | 71.0% | 73.0% | Expansion of 50–250 bps vs. Q4 FY2025</w:t>
      </w:r>
    </w:p>
    <w:p>
      <w:r>
        <w:t>EBITDA Margin | 19.5% | 22.5% | Operating leverage benefits</w:t>
      </w:r>
    </w:p>
    <w:p/>
    <w:p>
      <w:r>
        <w:t>The guidance assumes:</w:t>
      </w:r>
    </w:p>
    <w:p/>
    <w:p>
      <w:pPr>
        <w:pStyle w:val="ListBullet"/>
      </w:pPr>
      <w:r>
        <w:t>Meiji MES bookings of S$9.0–9.8 million, including the first revenue contribution from the Meiji Japan joint venture (subject to definitive documentation)</w:t>
      </w:r>
    </w:p>
    <w:p>
      <w:pPr>
        <w:pStyle w:val="ListBullet"/>
      </w:pPr>
      <w:r>
        <w:t>Bond Copilot bookings of S$5.6–6.2 million, supported by two pipeline enterprise deals in final negotiation stage as of early October</w:t>
      </w:r>
    </w:p>
    <w:p>
      <w:pPr>
        <w:pStyle w:val="ListBullet"/>
      </w:pPr>
      <w:r>
        <w:t>Hirethm bookings of S$3.8–4.3 million, including one public sector RFP win from the Singapore Government announced 28 September</w:t>
      </w:r>
    </w:p>
    <w:p>
      <w:pPr>
        <w:pStyle w:val="ListBullet"/>
      </w:pPr>
      <w:r>
        <w:t>DSO trending towards 63–65 days by year-end</w:t>
      </w:r>
    </w:p>
    <w:p>
      <w:pPr>
        <w:pStyle w:val="ListBullet"/>
      </w:pPr>
      <w:r>
        <w:t>Continued SGD/USD range of 0.735–0.755</w:t>
      </w:r>
    </w:p>
    <w:p/>
    <w:p>
      <w:pPr>
        <w:pStyle w:val="Heading3"/>
      </w:pPr>
      <w:r>
        <w:t>7.2 FY2027 Preliminary Outlook</w:t>
      </w:r>
    </w:p>
    <w:p/>
    <w:p>
      <w:r>
        <w:t>For the full fiscal year ending 30 June 2027, the company is preliminarily targeting revenue growth of approximately 25% YoY, with gross margins expected to stabilise in the 72–74% range and EBITDA margins expanding to 22–25% on a full-year basis.</w:t>
      </w:r>
    </w:p>
    <w:p/>
    <w:p>
      <w:r>
        <w:t>The FY2027 plan assumes a moderate investment step-up in:</w:t>
      </w:r>
    </w:p>
    <w:p/>
    <w:p>
      <w:pPr>
        <w:pStyle w:val="ListBullet"/>
      </w:pPr>
      <w:r>
        <w:t>R&amp;D spend on Agentic Copilot 2.0 and the DBiz GPT open-webui fork ecosystem</w:t>
      </w:r>
    </w:p>
    <w:p>
      <w:pPr>
        <w:pStyle w:val="ListBullet"/>
      </w:pPr>
      <w:r>
        <w:t>Sales and marketing investment in the Americas region, targeting 25%+ revenue share for Americas by FY2028</w:t>
      </w:r>
    </w:p>
    <w:p>
      <w:pPr>
        <w:pStyle w:val="ListBullet"/>
      </w:pPr>
      <w:r>
        <w:t>Compliance and governance headcount for AI Act alignment across Singapore, EU, and potentially UK jurisdictions</w:t>
      </w:r>
    </w:p>
    <w:p/>
    <w:p>
      <w:r>
        <w:t>---</w:t>
      </w:r>
    </w:p>
    <w:p/>
    <w:p>
      <w:pPr>
        <w:pStyle w:val="Heading2"/>
      </w:pPr>
      <w:r>
        <w:t>8. Risk Factors</w:t>
      </w:r>
    </w:p>
    <w:p/>
    <w:p>
      <w:r>
        <w:t>Investors should carefully consider the following risk factors, together with all other information included in this report, before making any investment decisions relating to DBizLabs securities.</w:t>
      </w:r>
    </w:p>
    <w:p/>
    <w:p>
      <w:pPr>
        <w:pStyle w:val="Heading3"/>
      </w:pPr>
      <w:r>
        <w:t>8.1 Market and Competitive Risks</w:t>
      </w:r>
    </w:p>
    <w:p/>
    <w:p>
      <w:r>
        <w:t>The enterprise AI platform market is characterised by rapid technological change, evolving customer requirements, and intense competition. Competitors include both well-established enterprise software vendors (e.g. ServiceNow, Salesforce Einstein, Microsoft Copilot for 365) and a large number of well-funded venture-backed start-ups. There can be no assurance that DBizLabs will be able to maintain its competitive position, continue to win share in its target verticals, or avoid pricing pressure on its core product offerings.</w:t>
      </w:r>
    </w:p>
    <w:p/>
    <w:p>
      <w:pPr>
        <w:pStyle w:val="Heading3"/>
      </w:pPr>
      <w:r>
        <w:t>8.2 Technology and Product Risks</w:t>
      </w:r>
    </w:p>
    <w:p/>
    <w:p>
      <w:r>
        <w:t>The company's growth strategy is materially dependent on the successful development and commercialisation of Agentic Copilot, the next-generation AI platform built on the Open WebUI fork. Delays in product roadmap delivery, quality issues with AI-generated outputs, or failure to achieve competitive performance benchmarks (e.g. RAG faithfulness scores, tool-use success rates) could materially impact customer retention, new customer acquisition, and revenue growth.</w:t>
      </w:r>
    </w:p>
    <w:p/>
    <w:p>
      <w:pPr>
        <w:pStyle w:val="Heading3"/>
      </w:pPr>
      <w:r>
        <w:t>8.3 Regulatory and Compliance Risks</w:t>
      </w:r>
    </w:p>
    <w:p/>
    <w:p>
      <w:r>
        <w:t>The regulatory environment for AI systems is evolving rapidly, with the Singapore AI Governance Act (effective Q1 2027), the EU AI Act (effective 2026–2028 phased implementation), and potential analogous legislation in the US, UK, and other jurisdictions. Compliance with new regulatory requirements may require material investment, may restrict the use of certain AI techniques, or may delay product launches in certain jurisdictions. Failure to comply with applicable regulations could result in significant fines, reputational damage, or restrictions on the company's ability to operate.</w:t>
      </w:r>
    </w:p>
    <w:p/>
    <w:p>
      <w:pPr>
        <w:pStyle w:val="Heading3"/>
      </w:pPr>
      <w:r>
        <w:t>8.4 Concentration and Customer Risks</w:t>
      </w:r>
    </w:p>
    <w:p/>
    <w:p>
      <w:r>
        <w:t>As at 30 September 2026, the company's top 5 customers represented approximately 31.4% of trailing twelve-month revenue, and the top 10 customers represented approximately 47.8%. The loss of one or more significant customers, or a significant reduction in spend by such customers, could have a material adverse effect on the company's results of operations and financial condition.</w:t>
      </w:r>
    </w:p>
    <w:p/>
    <w:p>
      <w:pPr>
        <w:pStyle w:val="Heading3"/>
      </w:pPr>
      <w:r>
        <w:t>8.5 Foreign Exchange and Macroeconomic Risks</w:t>
      </w:r>
    </w:p>
    <w:p/>
    <w:p>
      <w:r>
        <w:t>Given the company's international revenue base, fluctuations in foreign exchange rates (particularly SGD/USD, SGD/EUR, and SGD/JPY) can have a meaningful impact on reported revenue and profitability. Additionally, a prolonged global economic slowdown, tightening of IT spending budgets by enterprise customers, or adverse conditions in the manufacturing, financial services, or HR technology sectors could materially impact demand for the company's products and services.</w:t>
      </w:r>
    </w:p>
    <w:p/>
    <w:p>
      <w:pPr>
        <w:pStyle w:val="Heading3"/>
      </w:pPr>
      <w:r>
        <w:t>8.6 Cybersecurity and Data Privacy Risks</w:t>
      </w:r>
    </w:p>
    <w:p/>
    <w:p>
      <w:r>
        <w:t>The company processes significant volumes of sensitive customer data, including manufacturing quality data, bond pricing and trade information, HR records, and personally identifiable information (PII). A material cybersecurity incident, data breach, or failure to comply with applicable data privacy legislation (including Singapore's PDPA, EU GDPR, and California's CCPA/CPRA) could expose the company to significant regulatory fines, customer claims, reputational harm, and loss of business.</w:t>
      </w:r>
    </w:p>
    <w:p/>
    <w:p>
      <w:r>
        <w:t>---</w:t>
      </w:r>
    </w:p>
    <w:p/>
    <w:p>
      <w:pPr>
        <w:pStyle w:val="Heading2"/>
      </w:pPr>
      <w:r>
        <w:t>APPENDICES</w:t>
      </w:r>
    </w:p>
    <w:p/>
    <w:p>
      <w:pPr>
        <w:pStyle w:val="Heading3"/>
      </w:pPr>
      <w:r>
        <w:t>Appendix A: Customer Logos Table (Million-Plus ACV Customers)</w:t>
      </w:r>
    </w:p>
    <w:p/>
    <w:p>
      <w:r>
        <w:t># | Customer Name | Industry | Primary Product | ACV (S$m) | Region | Since</w:t>
      </w:r>
    </w:p>
    <w:p>
      <w:r>
        <w:t>1 | Sakura Precision Manufacturing Ltd | Industrial Manufacturing (Auto Parts) | Meiji MES Enterprise | 3.42 | APAC (Japan) | 2023</w:t>
      </w:r>
    </w:p>
    <w:p>
      <w:r>
        <w:t>2 | United Asian Bank Group Berhad | Financial Services (Banking) | Bond Copilot Enterprise + Audit Pack | 2.88 | APAC (Malaysia) | 2024</w:t>
      </w:r>
    </w:p>
    <w:p>
      <w:r>
        <w:t>3 | Singaporean Sovereign Infrastructure Fund | Government / SWF | Bond Copilot Enterprise + ProServe | 2.37 | APAC (Singapore) | 2024</w:t>
      </w:r>
    </w:p>
    <w:p>
      <w:r>
        <w:t>4 | Hamburg Pharma Tech GmbH | Pharmaceutical Manufacturing | Meiji MES Plant-Wide + OEE | 2.04 | EMEA (Germany) | 2023</w:t>
      </w:r>
    </w:p>
    <w:p>
      <w:r>
        <w:t>5 | NY Horizon Pension Advisors Inc | Financial Services (Pension Fund) | Bond Copilot Enterprise | 1.96 | Americas (USA) | 2025</w:t>
      </w:r>
    </w:p>
    <w:p>
      <w:r>
        <w:t>6 | Tamil Nadu State Public Service Commission | Government / Public Sector | Hirethm Pro Suite + ATS | 1.74 | APAC (India) | 2025</w:t>
      </w:r>
    </w:p>
    <w:p>
      <w:r>
        <w:t>7 | Kansai Electronics Components Co Ltd | Industrial Manufacturing (Semiconductor) | Meiji MES Enterprise | 1.62 | APAC (Japan) | 2024</w:t>
      </w:r>
    </w:p>
    <w:p>
      <w:r>
        <w:t>8 | London Capital Markets Partners LLP | Financial Services (Capital Markets) | Bond Copilot Enterprise + Training | 1.56 | EMEA (UK) | 2024</w:t>
      </w:r>
    </w:p>
    <w:p>
      <w:r>
        <w:t>9 | Dubai Free Zone Logistics Holding PJSC | Logistics / Supply Chain | Meiji MES Pro + OEE + Quality AI | 1.48 | EMEA (UAE) | 2025</w:t>
      </w:r>
    </w:p>
    <w:p>
      <w:r>
        <w:t>10 | Minneapolis Healthcare Systems Inc | Healthcare | Hirethm Enterprise Suite | 1.32 | Americas (USA) | 2024</w:t>
      </w:r>
    </w:p>
    <w:p>
      <w:r>
        <w:t>11 | Mumbai FinTech Payments Ltd | Financial Services (FinTech) | Bond Copilot Pro + Audit | 1.27 | APAC (India) | 2025</w:t>
      </w:r>
    </w:p>
    <w:p>
      <w:r>
        <w:t>12 | Osaka Food &amp; Beverage Co Ltd | F&amp;B Manufacturing | Meiji MES Plant-Wide | 1.21 | APAC (Japan) | 2023</w:t>
      </w:r>
    </w:p>
    <w:p>
      <w:r>
        <w:t>13 | SG Public Healthcare Group | Government / Healthcare | Hirethm Enterprise Suite | 1.18 | APAC (Singapore) | 2025</w:t>
      </w:r>
    </w:p>
    <w:p>
      <w:r>
        <w:t>14 | Chicago Industrial Automation Group | Industrial Manufacturing | Meiji MES Enterprise | 1.15 | Americas (USA) | 2024</w:t>
      </w:r>
    </w:p>
    <w:p>
      <w:r>
        <w:t>15 | Frankfurt EuroBond Asset Management GmbH | Financial Services (Asset Management) | Bond Copilot Enterprise | 1.12 | EMEA (Germany) | 2025</w:t>
      </w:r>
    </w:p>
    <w:p/>
    <w:p>
      <w:pPr>
        <w:pStyle w:val="Heading3"/>
      </w:pPr>
      <w:r>
        <w:t>Appendix B: R&amp;D Spend Table by Program (Q3 FY2026)</w:t>
      </w:r>
    </w:p>
    <w:p/>
    <w:p>
      <w:r>
        <w:t>R&amp;D Program | Spend (S$m) | % of Total R&amp;D | Headcount Committed | Key Deliverables Q3</w:t>
      </w:r>
    </w:p>
    <w:p>
      <w:r>
        <w:t>Agentic Copilot Platform | 1.28 | 28.3% | 38 | Planning module QA, LangGraph integration, 11 MCP servers live</w:t>
      </w:r>
    </w:p>
    <w:p>
      <w:r>
        <w:t>DBiz GPT (Open WebUI Fork) | 0.89 | 19.7% | 26 | Playwright web-loader rollout, multi-model routing UI, SCIM support</w:t>
      </w:r>
    </w:p>
    <w:p>
      <w:r>
        <w:t>Domain-Specific RAG Infrastructure | 0.74 | 16.4% | 19 | pgvector + Chroma hybrid stack, BGE-M3 embeddings, ColBERT reranker Q4 readiness</w:t>
      </w:r>
    </w:p>
    <w:p>
      <w:r>
        <w:t>Meiji MES AI Modules | 0.67 | 14.8% | 17 | OEE Live Wallboards (Nov 2026), Predictive Quality AI v2</w:t>
      </w:r>
    </w:p>
    <w:p>
      <w:r>
        <w:t>Bond Copilot AI Engine | 0.49 | 10.8% | 13 | Bond 2.0 yield curves + price scenario simulator (Oct 2026 GA)</w:t>
      </w:r>
    </w:p>
    <w:p>
      <w:r>
        <w:t>Hirethm HR AI Scoring | 0.28 | 6.2% | 9 | ATS v3 candidate ranking (Nov 2026), interview copilot</w:t>
      </w:r>
    </w:p>
    <w:p>
      <w:r>
        <w:t>AI Governance &amp; Safety | 0.17 | 3.8% | 6 | Model registry, red-teaming framework, prompt injection detector</w:t>
      </w:r>
    </w:p>
    <w:p>
      <w:r>
        <w:t xml:space="preserve">**Total R&amp;D** | **4.52** | **100.0%** | **128** | </w:t>
      </w:r>
    </w:p>
    <w:p/>
    <w:p>
      <w:pPr>
        <w:pStyle w:val="Heading3"/>
      </w:pPr>
      <w:r>
        <w:t>Appendix C: Revenue by Industry Sub-Vertical (Q3 FY2026)</w:t>
      </w:r>
    </w:p>
    <w:p/>
    <w:p>
      <w:r>
        <w:t>Sub-Vertical | Revenue (S$m) | % of Total | Top Product(s) | YoY Growth</w:t>
      </w:r>
    </w:p>
    <w:p>
      <w:r>
        <w:t>Discrete Manufacturing (Auto, Industrial) | 3.78 | 20.5% | Meiji MES Enterprise | +22.4%</w:t>
      </w:r>
    </w:p>
    <w:p>
      <w:r>
        <w:t>Process Manufacturing (Pharma, F&amp;B, Chem) | 2.94 | 16.0% | Meiji MES Plant-Wide + OEE | +28.1%</w:t>
      </w:r>
    </w:p>
    <w:p>
      <w:r>
        <w:t>Semiconductor &amp; Electronics | 1.59 | 8.6% | Meiji MES + Quality AI | +31.7%</w:t>
      </w:r>
    </w:p>
    <w:p>
      <w:r>
        <w:t>Banking (Retail &amp; Commercial) | 2.47 | 13.4% | Bond Copilot Enterprise | +48.2%</w:t>
      </w:r>
    </w:p>
    <w:p>
      <w:r>
        <w:t>Capital Markets &amp; Asset Management | 1.86 | 10.1% | Bond Copilot + Audit Pack | +52.9%</w:t>
      </w:r>
    </w:p>
    <w:p>
      <w:r>
        <w:t>Sovereign &amp; SWF | 0.94 | 5.1% | Bond Copilot Enterprise | +38.7%</w:t>
      </w:r>
    </w:p>
    <w:p>
      <w:r>
        <w:t>Government &amp; Public Sector | 1.67 | 9.1% | Hirethm Pro Suite | +35.3%</w:t>
      </w:r>
    </w:p>
    <w:p>
      <w:r>
        <w:t>Healthcare &amp; Life Sciences | 1.02 | 5.5% | Hirethm + Meiji (Pharma) | +27.4%</w:t>
      </w:r>
    </w:p>
    <w:p>
      <w:r>
        <w:t>Technology &amp; FinTech | 1.25 | 6.8% | Bond Copilot Pro + Hirethm | +33.1%</w:t>
      </w:r>
    </w:p>
    <w:p>
      <w:r>
        <w:t>Logistics &amp; Supply Chain | 0.64 | 3.5% | Meiji MES Pro | +19.2%</w:t>
      </w:r>
    </w:p>
    <w:p>
      <w:r>
        <w:t>Professional Services (Non-DBiz) | 0.26 | 1.4% | Hirethm ATS + DBiz ProServe | +12.8%</w:t>
      </w:r>
    </w:p>
    <w:p>
      <w:r>
        <w:t>**Total** | **18.42** | **100.0%** |  | **+28.6%**</w:t>
      </w:r>
    </w:p>
    <w:p/>
    <w:p>
      <w:pPr>
        <w:pStyle w:val="Heading3"/>
      </w:pPr>
      <w:r>
        <w:t>Appendix D: Full Income Statement (Q3 FY2026 vs. Q3 FY2025, 9M FY2026 vs. 9M FY2025)</w:t>
      </w:r>
    </w:p>
    <w:p/>
    <w:p>
      <w:r>
        <w:t>Line Item | Q3 FY2026 (S$m) | Q3 FY2025 (S$m) | YoY % | 9M FY2026 (S$m) | 9M FY2025 (S$m) | YoY %</w:t>
      </w:r>
    </w:p>
    <w:p>
      <w:r>
        <w:t>**Revenue** | **18.42** | **14.33** | **+28.6%** | **50.81** | **40.09** | **+26.7%**</w:t>
      </w:r>
    </w:p>
    <w:p>
      <w:r>
        <w:t>Cost of Revenue | 5.27 | 4.35 | +21.1% | 14.83 | 12.22 | +21.4%</w:t>
      </w:r>
    </w:p>
    <w:p>
      <w:r>
        <w:t>**Gross Profit** | **13.15** | **9.98** | **+31.8%** | **35.98** | **27.87** | **+29.1%**</w:t>
      </w:r>
    </w:p>
    <w:p>
      <w:r>
        <w:t>Gross Margin % | 71.4% | 69.6% | +180 bps | 70.8% | 69.5% | +130 bps</w:t>
      </w:r>
    </w:p>
    <w:p>
      <w:r>
        <w:t xml:space="preserve"> |  |  |  |  |  | </w:t>
      </w:r>
    </w:p>
    <w:p>
      <w:r>
        <w:t>Research &amp; Development | 4.52 | 3.41 | +32.6% | 12.67 | 9.78 | +29.6%</w:t>
      </w:r>
    </w:p>
    <w:p>
      <w:r>
        <w:t>Sales &amp; Marketing | 3.34 | 2.79 | +19.7% | 9.42 | 7.68 | +22.7%</w:t>
      </w:r>
    </w:p>
    <w:p>
      <w:r>
        <w:t>General &amp; Administrative | 1.48 | 1.26 | +17.5% | 4.26 | 3.62 | +17.7%</w:t>
      </w:r>
    </w:p>
    <w:p>
      <w:r>
        <w:t>**Total Operating Expenses** | **9.34** | **7.46** | **+25.2%** | **26.35** | **21.08** | **+25.0%**</w:t>
      </w:r>
    </w:p>
    <w:p>
      <w:r>
        <w:t xml:space="preserve"> |  |  |  |  |  | </w:t>
      </w:r>
    </w:p>
    <w:p>
      <w:r>
        <w:t>**Operating Income (EBIT)** | **3.81** | **2.52** | **+51.2%** | **9.63** | **6.79** | **+41.8%**</w:t>
      </w:r>
    </w:p>
    <w:p>
      <w:r>
        <w:t>Operating Margin % | 20.7% | 17.6% | +310 bps | 19.0% | 16.9% | +210 bps</w:t>
      </w:r>
    </w:p>
    <w:p>
      <w:r>
        <w:t xml:space="preserve"> |  |  |  |  |  | </w:t>
      </w:r>
    </w:p>
    <w:p>
      <w:r>
        <w:t>Depreciation &amp; Amortisation | 0.42 | 0.33 | +27.3% | 1.18 | 0.93 | +26.9%</w:t>
      </w:r>
    </w:p>
    <w:p>
      <w:r>
        <w:t>**EBITDA** | **4.23** | **2.85** | **+48.4%** | **10.81** | **7.72** | **+40.0%**</w:t>
      </w:r>
    </w:p>
    <w:p>
      <w:r>
        <w:t>EBITDA Margin % | 22.9% | 19.9% | +300 bps | 21.3% | 19.3% | +200 bps</w:t>
      </w:r>
    </w:p>
    <w:p>
      <w:r>
        <w:t xml:space="preserve"> |  |  |  |  |  | </w:t>
      </w:r>
    </w:p>
    <w:p>
      <w:r>
        <w:t>Interest Income | 0.09 | 0.05 | +80.0% | 0.25 | 0.12 | +108.3%</w:t>
      </w:r>
    </w:p>
    <w:p>
      <w:r>
        <w:t>Interest Expense | — | — | — | — | — | —</w:t>
      </w:r>
    </w:p>
    <w:p>
      <w:r>
        <w:t>Other (Losses) / Gains (net) | (0.03) | 0.02 | NM | 0.04 | 0.01 | NM</w:t>
      </w:r>
    </w:p>
    <w:p>
      <w:r>
        <w:t xml:space="preserve"> |  |  |  |  |  | </w:t>
      </w:r>
    </w:p>
    <w:p>
      <w:r>
        <w:t>**Profit Before Tax (PBT)** | **3.87** | **2.59** | **+49.4%** | **9.92** | **6.92** | **+43.4%**</w:t>
      </w:r>
    </w:p>
    <w:p>
      <w:r>
        <w:t>Income Tax Expense | 0.66 | 0.44 | +50.0% | 1.69 | 1.17 | +44.4%</w:t>
      </w:r>
    </w:p>
    <w:p>
      <w:r>
        <w:t>Effective Tax Rate % | 17.1% | 17.0% | +10 bps | 17.0% | 16.9% | +10 bps</w:t>
      </w:r>
    </w:p>
    <w:p>
      <w:r>
        <w:t xml:space="preserve"> |  |  |  |  |  | </w:t>
      </w:r>
    </w:p>
    <w:p>
      <w:r>
        <w:t>**Net Profit After Tax** | **3.21** | **2.15** | **+49.3%** | **8.23** | **5.75** | **+43.1%**</w:t>
      </w:r>
    </w:p>
    <w:p>
      <w:r>
        <w:t>Net Margin % | 17.4% | 15.0% | +240 bps | 16.2% | 14.3% | +190 bps</w:t>
      </w:r>
    </w:p>
    <w:p>
      <w:r>
        <w:t xml:space="preserve"> |  |  |  |  |  | </w:t>
      </w:r>
    </w:p>
    <w:p>
      <w:r>
        <w:t>Basic EPS (S$ cents) | 10.13 | 6.78 | +49.4% | 25.98 | 18.13 | +43.3%</w:t>
      </w:r>
    </w:p>
    <w:p>
      <w:r>
        <w:t xml:space="preserve">Weighted Avg Shares Outstanding ('000) | 31,694 | 31,712 |  | 31,682 | 31,718 | </w:t>
      </w:r>
    </w:p>
    <w:p/>
    <w:p>
      <w:r>
        <w:t>*Note: EBITDA as defined by the company is EBIT plus depreciation and amortisation. The EBITDA metric above this line (S$3.81m) references the EBIT-equivalent operating margin; the income statement below calculates EBITDA conventionally including D&amp;A add-back. Both figures are used across the document per convention.*</w:t>
      </w:r>
    </w:p>
    <w:p/>
    <w:p>
      <w:r>
        <w:t>---</w:t>
      </w:r>
    </w:p>
    <w:p/>
    <w:p>
      <w:r>
        <w:t>*End of Report*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