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4A6"/>
          <w:sz w:val="56"/>
        </w:rPr>
        <w:t>A.D.C.</w:t>
        <w:br/>
      </w:r>
      <w:r>
        <w:rPr>
          <w:b/>
          <w:sz w:val="44"/>
        </w:rPr>
        <w:t>Sprint 004.2</w:t>
        <w:br/>
      </w:r>
      <w:r>
        <w:rPr>
          <w:color w:val="8C8C8C"/>
          <w:sz w:val="26"/>
        </w:rPr>
        <w:t>Intégration de l'identité visuelle</w:t>
      </w:r>
    </w:p>
    <w:p>
      <w:pPr>
        <w:pStyle w:val="Heading1"/>
      </w:pPr>
      <w:r>
        <w:t>Décisions</w:t>
      </w:r>
    </w:p>
    <w:p>
      <w:r>
        <w:t>• Le logo officiel de la charte devient le logo de référence.</w:t>
        <w:br/>
        <w:t>• Le bleu corporate (#0054A6) remplace le bleu proposé précédemment.</w:t>
        <w:br/>
        <w:t>• Les couleurs fonctionnelles sont conservées pour les rapports.</w:t>
        <w:br/>
        <w:t>• Montserrat est réservé aux titres, Aptos au corps de texte.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