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Garamond" w:hAnsi="Garamond"/>
          <w:b/>
          <w:color w:val="B08D35"/>
          <w:sz w:val="32"/>
        </w:rPr>
        <w:t>FEELACY</w:t>
      </w:r>
    </w:p>
    <w:p>
      <w:pPr>
        <w:pStyle w:val="Title"/>
        <w:jc w:val="center"/>
      </w:pPr>
      <w:r>
        <w:t>Cookie Policy</w:t>
      </w:r>
    </w:p>
    <w:p>
      <w:pPr>
        <w:jc w:val="center"/>
      </w:pPr>
      <w:r>
        <w:t>Effective date  [INSERT DATE]  •  Last updated  [INSERT DATE]</w:t>
      </w:r>
    </w:p>
    <w:p>
      <w:r>
        <w:t>This Cookie Policy explains how FEELACY uses cookies and similar technologies and the choices available to users. This document should be read with the other FEELACY legal pages. Mandatory rights under applicable law always prevail.</w:t>
      </w:r>
    </w:p>
    <w:p>
      <w:r>
        <w:rPr>
          <w:b/>
        </w:rPr>
        <w:t xml:space="preserve">Other FEELACY legal pages  </w:t>
      </w:r>
      <w:r>
        <w:t>Terms of Use • Policies • Cookie Policy • Privacy Policy • Disclaimers</w:t>
      </w:r>
    </w:p>
    <w:p>
      <w:pPr>
        <w:pStyle w:val="Heading1"/>
      </w:pPr>
      <w:r>
        <w:t>1. Scope</w:t>
      </w:r>
    </w:p>
    <w:p>
      <w:r>
        <w:t>This policy explains cookies, SDKs, pixels, local storage, and similar technologies used on FEELACY websites and applications. It should be read with the Privacy Policy. A live consent interface at [COOKIE SETTINGS URL] must list current vendors, purposes, durations, and categories; that interface controls the deployed configuration. A restriction under this section will not be applied more broadly or for longer than reasonably necessary for its lawful purpose.</w:t>
      </w:r>
    </w:p>
    <w:p>
      <w:pPr>
        <w:pStyle w:val="Heading1"/>
      </w:pPr>
      <w:r>
        <w:t>2. Strictly necessary technologies</w:t>
      </w:r>
    </w:p>
    <w:p>
      <w:r>
        <w:t>Necessary technologies enable security, fraud prevention, authentication, basket persistence, checkout, network routing, consent storage, and accessibility. They operate because the requested service cannot reasonably function without them, not for unrelated advertising. Blocking them through browser settings may prevent core features. Where consent is the legal basis, it must be specific, informed, freely given, recorded, and as easy to withdraw as to provide.</w:t>
      </w:r>
    </w:p>
    <w:p>
      <w:pPr>
        <w:pStyle w:val="Heading1"/>
      </w:pPr>
      <w:r>
        <w:t>3. Preferences</w:t>
      </w:r>
    </w:p>
    <w:p>
      <w:r>
        <w:t>Preference technologies remember language, currency, region, display settings, saved filters, and permitted personalization choices. In jurisdictions requiring consent, they remain off until consent. Users can change choices without losing access to core services, although preferred features may reset. A restriction under this section will not be applied more broadly or for longer than reasonably necessary for its lawful purpose.</w:t>
      </w:r>
    </w:p>
    <w:p>
      <w:pPr>
        <w:pStyle w:val="Heading1"/>
      </w:pPr>
      <w:r>
        <w:t>4. Analytics and performance</w:t>
      </w:r>
    </w:p>
    <w:p>
      <w:r>
        <w:t>Analytics technologies measure visits, navigation, errors, latency, campaign attribution, and feature use. FEELACY should configure data minimization, IP truncation where available, limited retention, and contractual use restrictions. Consent is obtained where required. Aggregated analytics may remain after an identifier is deleted when re-identification is not reasonably possible. FEELACY and the relevant merchant must preserve evidence reasonably needed to demonstrate compliance and resolve a good-faith complaint.</w:t>
      </w:r>
    </w:p>
    <w:p>
      <w:pPr>
        <w:pStyle w:val="Heading1"/>
      </w:pPr>
      <w:r>
        <w:t>5. Advertising and social media</w:t>
      </w:r>
    </w:p>
    <w:p>
      <w:r>
        <w:t>Advertising technologies may select, limit, measure, or attribute ads and may enable social features. Their use can involve cross-context behavioral advertising, sale, sharing, or targeted advertising under U.S. state laws. FEELACY will provide required opt-outs and will not treat silence, pre-ticked boxes, or bundled acceptance as valid consent where affirmative choice is required. A restriction under this section will not be applied more broadly or for longer than reasonably necessary for its lawful purpose.</w:t>
      </w:r>
    </w:p>
    <w:p>
      <w:pPr>
        <w:pStyle w:val="Heading1"/>
      </w:pPr>
      <w:r>
        <w:t>6. AI and recommendation signals</w:t>
      </w:r>
    </w:p>
    <w:p>
      <w:r>
        <w:t>With the applicable permission, cookies and device signals may inform product ranking, recommendations, frequency caps, and model evaluation. Sensitive traits should not be inferred for advertising, and alcohol marketing exclusions must be respected. Users can learn about ranking in the AI and Recommendation Transparency Notice and select non-personalized options where offered or required. Where consent is the legal basis, it must be specific, informed, freely given, recorded, and as easy to withdraw as to provide.</w:t>
      </w:r>
    </w:p>
    <w:p>
      <w:pPr>
        <w:pStyle w:val="Heading1"/>
      </w:pPr>
      <w:r>
        <w:t>7. Consent management</w:t>
      </w:r>
    </w:p>
    <w:p>
      <w:r>
        <w:t>EEA and UK visitors receive a choice before non-essential technologies are set. Rejecting must be as easy as accepting, categories must not be misleading, and withdrawal must be available at any time through [COOKIE SETTINGS URL]. Consent records include time, version, categories, and a pseudonymous identifier and are retained only as needed to demonstrate compliance. Where consent is the legal basis, it must be specific, informed, freely given, recorded, and as easy to withdraw as to provide.</w:t>
      </w:r>
    </w:p>
    <w:p>
      <w:pPr>
        <w:pStyle w:val="Heading1"/>
      </w:pPr>
      <w:r>
        <w:t>8. Browser and device controls</w:t>
      </w:r>
    </w:p>
    <w:p>
      <w:r>
        <w:t>Browser settings may delete or block cookies, mobile operating systems may limit tracking, and recognized universal opt-out signals are honored where legally required. These controls may not remove server-side account preferences, so users should also use FEELACY privacy settings. Instructions vary by browser and device and should be maintained at [HELP CENTER URL]. Where consent is the legal basis, it must be specific, informed, freely given, recorded, and as easy to withdraw as to provide.</w:t>
      </w:r>
    </w:p>
    <w:p>
      <w:pPr>
        <w:pStyle w:val="Heading1"/>
      </w:pPr>
      <w:r>
        <w:t>9. Duration and vendors</w:t>
      </w:r>
    </w:p>
    <w:p>
      <w:r>
        <w:t>Session technologies expire when the session ends; persistent technologies last for the period shown in the live list, subject to renewal only with a valid basis. FEELACY reviews vendors for purpose, security, transfers, retention, and onward use. Material new purposes require updated notice and, where necessary, renewed consent. A restriction under this section will not be applied more broadly or for longer than reasonably necessary for its lawful purpose.</w:t>
      </w:r>
    </w:p>
    <w:p>
      <w:pPr>
        <w:pStyle w:val="Heading1"/>
      </w:pPr>
      <w:r>
        <w:t>10. Updates and contact</w:t>
      </w:r>
    </w:p>
    <w:p>
      <w:r>
        <w:t>The last-updated date changes when practices materially change. FEELACY may notify users through the banner, account, or email depending on impact. Questions and rights requests go to [PRIVACY EMAIL]. FEELACY and the relevant merchant must preserve evidence reasonably needed to demonstrate compliance and resolve a good-faith complaint.</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51B2B"/>
        <w:sz w:val="16"/>
      </w:rPr>
      <w:t xml:space="preserve">FEELACY  •  Legal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651B2B"/>
        <w:sz w:val="16"/>
      </w:rPr>
      <w:t>FEELACY LEGAL  |  COOKIE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40" w:lineRule="auto"/>
    </w:pPr>
    <w:rPr>
      <w:rFonts w:ascii="Garamond" w:hAnsi="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aramond" w:hAnsi="Garamond"/>
      <w:b/>
      <w:bCs/>
      <w:color w:val="651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651B2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