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Garamond" w:hAnsi="Garamond"/>
          <w:b/>
          <w:color w:val="B08D35"/>
          <w:sz w:val="32"/>
        </w:rPr>
        <w:t>FEELACY</w:t>
      </w:r>
    </w:p>
    <w:p>
      <w:pPr>
        <w:pStyle w:val="Title"/>
        <w:jc w:val="center"/>
      </w:pPr>
      <w:r>
        <w:t>Terms of Use</w:t>
      </w:r>
    </w:p>
    <w:p>
      <w:pPr>
        <w:jc w:val="center"/>
      </w:pPr>
      <w:r>
        <w:t>Effective date  [INSERT DATE]  •  Last updated  [INSERT DATE]</w:t>
      </w:r>
    </w:p>
    <w:p>
      <w:r>
        <w:t>These Terms of Use are the main agreement governing access to and use of FEELACY. This document should be read with the other FEELACY legal pages. Mandatory rights under applicable law always prevail.</w:t>
      </w:r>
    </w:p>
    <w:p>
      <w:r>
        <w:rPr>
          <w:b/>
        </w:rPr>
        <w:t xml:space="preserve">Other FEELACY legal pages  </w:t>
      </w:r>
      <w:r>
        <w:t>Terms of Use • Policies • Cookie Policy • Privacy Policy • Disclaimers</w:t>
      </w:r>
    </w:p>
    <w:p>
      <w:pPr>
        <w:pStyle w:val="Heading1"/>
      </w:pPr>
      <w:r>
        <w:t>1. Purpose and agreement</w:t>
      </w:r>
    </w:p>
    <w:p>
      <w:r>
        <w:t>These terms govern access to FEELACY websites, applications, accounts, marketplace tools, memberships, community features, and AI-assisted discovery. Acceptance may occur by account creation, checkout, clicking an acceptance control, or continued use after legally sufficient notice. Supplemental policies form part of the agreement when relevant, but mandatory consumer law prevails over conflicting language. FEELACY and the relevant merchant must preserve evidence reasonably needed to demonstrate compliance and resolve a good-faith complaint.</w:t>
      </w:r>
    </w:p>
    <w:p>
      <w:pPr>
        <w:pStyle w:val="Heading1"/>
      </w:pPr>
      <w:r>
        <w:t>2. Eligibility and accounts</w:t>
      </w:r>
    </w:p>
    <w:p>
      <w:r>
        <w:t>A general account holder must be at least eighteen and legally capable of contracting. Alcohol purchasers and recipients must meet the legal age at the purchase and delivery locations. Users must provide accurate information, protect credentials, promptly report suspected compromise, and may not impersonate others, evade restrictions, or transfer accounts without permission. A restriction under this section will not be applied more broadly or for longer than reasonably necessary for its lawful purpose.</w:t>
      </w:r>
    </w:p>
    <w:p>
      <w:pPr>
        <w:pStyle w:val="Heading1"/>
      </w:pPr>
      <w:r>
        <w:t>3. Platform and merchant roles</w:t>
      </w:r>
    </w:p>
    <w:p>
      <w:r>
        <w:t>FEELACY operates technology, discovery, payment-facilitation, support, and marketplace services. Unless checkout identifies FEELACY or an affiliate as seller of record, the independent merchant shown at checkout is the seller and remains responsible for inventory, licensing, product conformity, taxes allocated to it, lawful fulfillment, and required disclosures. FEELACY does not become the manufacturer, importer, or seller merely by facilitating a transaction. Where consent is the legal basis, it must be specific, informed, freely given, recorded, and as easy to withdraw as to provide.</w:t>
      </w:r>
    </w:p>
    <w:p>
      <w:pPr>
        <w:pStyle w:val="Heading1"/>
      </w:pPr>
      <w:r>
        <w:t>4. Acceptable use</w:t>
      </w:r>
    </w:p>
    <w:p>
      <w:r>
        <w:t>Users may not break laws; harm people; probe or defeat security; scrape at unreasonable scale; introduce malware; manipulate rankings or reviews; use automated means contrary to published instructions; infringe rights; launder money; resell access; or use the platform to facilitate underage alcohol access. Reasonable interoperability, consumer, research, and statutory rights are not restricted where they cannot lawfully be restricted. FEELACY and the relevant merchant must preserve evidence reasonably needed to demonstrate compliance and resolve a good-faith complaint.</w:t>
      </w:r>
    </w:p>
    <w:p>
      <w:pPr>
        <w:pStyle w:val="Heading1"/>
      </w:pPr>
      <w:r>
        <w:t>5. Subscriptions and promotions</w:t>
      </w:r>
    </w:p>
    <w:p>
      <w:r>
        <w:t>Memberships and recurring services must display price, billing interval, material benefits, trial terms, renewal timing, and cancellation method before enrollment. FEELACY will obtain consent required by law, provide confirmation, and offer a reasonably simple cancellation route. Promotions may have additional eligibility, territory, inventory, and expiry terms; misleading combinations or abuse may be rejected. FEELACY and the relevant merchant must preserve evidence reasonably needed to demonstrate compliance and resolve a good-faith complaint.</w:t>
      </w:r>
    </w:p>
    <w:p>
      <w:pPr>
        <w:pStyle w:val="Heading1"/>
      </w:pPr>
      <w:r>
        <w:t>6. User content and license</w:t>
      </w:r>
    </w:p>
    <w:p>
      <w:r>
        <w:t>Users retain ownership of reviews, photographs, lists, and other submissions. They grant FEELACY a worldwide, non-exclusive, royalty-free license to host, reproduce, format, translate, distribute, display, and use that content to operate, secure, improve, and promote the platform, subject to privacy choices and law. The license ends when content is deleted, except for backups, legal retention, prior authorized uses, and content shared with others. Required disclosures must be clear, timely, accessible, and presented before the user makes the decision they are intended to inform.</w:t>
      </w:r>
    </w:p>
    <w:p>
      <w:pPr>
        <w:pStyle w:val="Heading1"/>
      </w:pPr>
      <w:r>
        <w:t>7. Intellectual property</w:t>
      </w:r>
    </w:p>
    <w:p>
      <w:r>
        <w:t>FEELACY and its licensors own the platform software, compilation, visual identity, and original editorial material. Product names and third-party marks belong to their owners. No implied license is granted beyond personal or authorized business use. Rights holders may submit a sufficiently detailed notice to [IP NOTICE EMAIL], and FEELACY may request verification or a counter-notice. Where consent is the legal basis, it must be specific, informed, freely given, recorded, and as easy to withdraw as to provide.</w:t>
      </w:r>
    </w:p>
    <w:p>
      <w:pPr>
        <w:pStyle w:val="Heading1"/>
      </w:pPr>
      <w:r>
        <w:t>8. Enforcement and appeals</w:t>
      </w:r>
    </w:p>
    <w:p>
      <w:r>
        <w:t>FEELACY may investigate, restrict content, pause transactions, suspend features, or close accounts when reasonably necessary for safety, fraud prevention, legal compliance, contractual enforcement, or platform integrity. When law requires, affected users receive reasons and an appeal route. Emergency action may precede notice. Decisions will consider context, severity, recurrence, and less restrictive measures. Where consent is the legal basis, it must be specific, informed, freely given, recorded, and as easy to withdraw as to provide.</w:t>
      </w:r>
    </w:p>
    <w:p>
      <w:pPr>
        <w:pStyle w:val="Heading1"/>
      </w:pPr>
      <w:r>
        <w:t>9. Disclaimers and liability</w:t>
      </w:r>
    </w:p>
    <w:p>
      <w:r>
        <w:t>The platform is provided with reasonable care but may experience interruptions, inaccurate third-party data, vintage substitutions disclosed by sellers, or recommendation errors. Nothing excludes liability that cannot be excluded, including liability for fraud, deliberate misconduct, death or personal injury caused by negligence where applicable, or statutory product and consumer rights. Subject to those limits, indirect or unforeseeable business losses are excluded and any negotiated cap requires counsel confirmation. A restriction under this section will not be applied more broadly or for longer than reasonably necessary for its lawful purpose.</w:t>
      </w:r>
    </w:p>
    <w:p>
      <w:pPr>
        <w:pStyle w:val="Heading1"/>
      </w:pPr>
      <w:r>
        <w:t>10. Disputes and governing law</w:t>
      </w:r>
    </w:p>
    <w:p>
      <w:r>
        <w:t>Consumers may bring claims in courts available under mandatory local law. For U.S. users only, counsel should confirm a conspicuous individual arbitration provision, delegation language, opt-out period, mass-filing procedure, small-claims option, and class-action waiver under [ARBITRATION PROVIDER AND RULES]. Business disputes are governed by [U.S. GOVERNING STATE] law and courts at [VENUE], without displacing non-waivable rights. EU/EEA and UK consumers retain local protections. Where consent is the legal basis, it must be specific, informed, freely given, recorded, and as easy to withdraw as to provide.</w:t>
      </w:r>
    </w:p>
    <w:p>
      <w:pPr>
        <w:pStyle w:val="Heading1"/>
      </w:pPr>
      <w:r>
        <w:t>11. Changes termination and contact</w:t>
      </w:r>
    </w:p>
    <w:p>
      <w:r>
        <w:t>FEELACY may revise these terms prospectively. Material changes receive notice appropriate to their effect and any consent required by law; archived versions and effective dates should be maintained. Users may stop using the service and close accounts, subject to open orders, chargebacks, investigations, and lawful retention. Notices go to [LEGAL NOTICE EMAIL] and [REGISTERED ADDRESS]. A restriction under this section will not be applied more broadly or for longer than reasonably necessary for its lawful purpose.</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651B2B"/>
        <w:sz w:val="16"/>
      </w:rPr>
      <w:t xml:space="preserve">FEELACY  •  Legal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olor w:val="651B2B"/>
        <w:sz w:val="16"/>
      </w:rPr>
      <w:t>FEELACY LEGAL  |  TERMS OF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40" w:lineRule="auto"/>
    </w:pPr>
    <w:rPr>
      <w:rFonts w:ascii="Garamond" w:hAnsi="Garamond"/>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Garamond" w:hAnsi="Garamond"/>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Garamond" w:hAnsi="Garamond"/>
      <w:b/>
      <w:bCs/>
      <w:color w:val="651B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Garamond" w:hAnsi="Garamond"/>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aramond" w:hAnsi="Garamond"/>
      <w:i/>
      <w:iCs/>
      <w:color w:val="651B2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