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rFonts w:ascii="Garamond" w:hAnsi="Garamond"/>
          <w:b/>
          <w:color w:val="B08D35"/>
          <w:sz w:val="32"/>
        </w:rPr>
        <w:t>FEELACY</w:t>
      </w:r>
    </w:p>
    <w:p>
      <w:pPr>
        <w:pStyle w:val="Title"/>
        <w:jc w:val="center"/>
      </w:pPr>
      <w:r>
        <w:t>Disclaimers</w:t>
      </w:r>
    </w:p>
    <w:p>
      <w:pPr>
        <w:jc w:val="center"/>
      </w:pPr>
      <w:r>
        <w:t>Effective date  [INSERT DATE]  •  Last updated  [INSERT DATE]</w:t>
      </w:r>
    </w:p>
    <w:p>
      <w:r>
        <w:t>These Disclaimers explain the limits and safeguards for AI-assisted features and FEELACY’s EU Digital Services Act notice and action process. This document should be read with the other FEELACY legal pages. Mandatory rights under applicable law always prevail.</w:t>
      </w:r>
    </w:p>
    <w:p>
      <w:r>
        <w:rPr>
          <w:b/>
        </w:rPr>
        <w:t xml:space="preserve">Other FEELACY legal pages  </w:t>
      </w:r>
      <w:r>
        <w:t>Terms of Use • Policies • Cookie Policy • Privacy Policy • Disclaimers</w:t>
      </w:r>
    </w:p>
    <w:p>
      <w:pPr>
        <w:pStyle w:val="Heading1"/>
      </w:pPr>
      <w:r>
        <w:t>AI and Recommendation Transparency Notice</w:t>
      </w:r>
    </w:p>
    <w:p>
      <w:pPr>
        <w:pStyle w:val="Heading2"/>
      </w:pPr>
      <w:r>
        <w:t>1. Scope</w:t>
      </w:r>
    </w:p>
    <w:p>
      <w:r>
        <w:t>FEELACY may use machine learning and generative AI for search, product matching, ranking, recommendations, review summaries, catalog enrichment, fraud prevention, support, voice interfaces, and merchant tools. This notice describes general operation and choices; it does not disclose security-sensitive details or third-party trade secrets. A restriction under this section will not be applied more broadly or for longer than reasonably necessary for its lawful purpose.</w:t>
      </w:r>
    </w:p>
    <w:p>
      <w:pPr>
        <w:pStyle w:val="Heading2"/>
      </w:pPr>
      <w:r>
        <w:t>2. Main ranking parameters</w:t>
      </w:r>
    </w:p>
    <w:p>
      <w:r>
        <w:t>Product ranking may give substantial weight to query relevance, availability and lawful deliverability, user preferences, prior interactions, price and value signals, merchant service quality, review quality, popularity, freshness, diversity, and commercial context. The relative importance changes by feature. Sponsored results are labeled and payment does not convert an advertisement into an organic recommendation. Where consent is the legal basis, it must be specific, informed, freely given, recorded, and as easy to withdraw as to provide.</w:t>
      </w:r>
    </w:p>
    <w:p>
      <w:pPr>
        <w:pStyle w:val="Heading2"/>
      </w:pPr>
      <w:r>
        <w:t>3. Personalization choices</w:t>
      </w:r>
    </w:p>
    <w:p>
      <w:r>
        <w:t>When personalization is active, FEELACY may use saved preferences, searches, clicks, purchases, follows, location, language, price range, ratings, and consented device signals. Users can adjust preferences, clear history where offered, opt out of qualifying profiling, or choose a non-personalized feed where required. Non-personalized ranking may rely on current query, region, availability, and general popularity. Required disclosures must be clear, timely, accessible, and presented before the user makes the decision they are intended to inform.</w:t>
      </w:r>
    </w:p>
    <w:p>
      <w:pPr>
        <w:pStyle w:val="Heading2"/>
      </w:pPr>
      <w:r>
        <w:t>4. Generative features</w:t>
      </w:r>
    </w:p>
    <w:p>
      <w:r>
        <w:t>AI answers and summaries predict useful text from available inputs and may be incomplete or wrong. They are not professional, medical, legal, investment, authentication, or safety advice. Users should verify vintage, allergens, alcohol content, price, availability, merchant, delivery restrictions, and other material facts on the product and checkout pages. FEELACY and the relevant merchant must preserve evidence reasonably needed to demonstrate compliance and resolve a good-faith complaint.</w:t>
      </w:r>
    </w:p>
    <w:p>
      <w:pPr>
        <w:pStyle w:val="Heading2"/>
      </w:pPr>
      <w:r>
        <w:t>5. User inputs and outputs</w:t>
      </w:r>
    </w:p>
    <w:p>
      <w:r>
        <w:t>Users should not submit confidential, privileged, infringing, unlawful, or unnecessary personal information. Inputs and outputs may be processed to deliver, secure, evaluate, and improve features according to the Privacy Policy and settings. FEELACY does not promise exclusivity or ownership in machine-generated output; similar outputs may be produced for others. FEELACY and the relevant merchant must preserve evidence reasonably needed to demonstrate compliance and resolve a good-faith complaint.</w:t>
      </w:r>
    </w:p>
    <w:p>
      <w:pPr>
        <w:pStyle w:val="Heading2"/>
      </w:pPr>
      <w:r>
        <w:t>6. Human oversight</w:t>
      </w:r>
    </w:p>
    <w:p>
      <w:r>
        <w:t>FEELACY uses testing, monitoring, escalation, access controls, and human review proportionate to risk. High-impact decisions involving account access, fraud, merchant enforcement, or legal rights should have contest and human-review paths when applicable. AI assists staff but does not eliminate FEELACY’s responsibility for its own legal obligations. Required disclosures must be clear, timely, accessible, and presented before the user makes the decision they are intended to inform.</w:t>
      </w:r>
    </w:p>
    <w:p>
      <w:pPr>
        <w:pStyle w:val="Heading2"/>
      </w:pPr>
      <w:r>
        <w:t>7. Fairness safety and alcohol</w:t>
      </w:r>
    </w:p>
    <w:p>
      <w:r>
        <w:t>Models should be evaluated for quality, bias, manipulation, unsafe alcohol promotion, youth exposure, and disparate errors. FEELACY does not intentionally personalize alcohol marketing to known minors or use sensitive health or vulnerability traits to encourage harmful consumption. Safety filters may limit queries or results. Required disclosures must be clear, timely, accessible, and presented before the user makes the decision they are intended to inform.</w:t>
      </w:r>
    </w:p>
    <w:p>
      <w:pPr>
        <w:pStyle w:val="Heading2"/>
      </w:pPr>
      <w:r>
        <w:t>8. Reviews and catalog data</w:t>
      </w:r>
    </w:p>
    <w:p>
      <w:r>
        <w:t>Machine-generated summaries may synthesize multiple reviews and will be labeled. They should not invent consensus, conceal material negative themes, or be presented as a user quotation. Catalog enrichment may infer categories or tasting attributes, which should be distinguished from producer or merchant claims and corrected when reliable evidence shows error. FEELACY and the relevant merchant must preserve evidence reasonably needed to demonstrate compliance and resolve a good-faith complaint.</w:t>
      </w:r>
    </w:p>
    <w:p>
      <w:pPr>
        <w:pStyle w:val="Heading2"/>
      </w:pPr>
      <w:r>
        <w:t>9. Merchant and sponsored influence</w:t>
      </w:r>
    </w:p>
    <w:p>
      <w:r>
        <w:t>Merchant price, inventory, shipping reach, performance, and promotion can affect visibility. Paid placements, affiliate relationships, and house products must be distinguishable. Merchants may not manipulate inputs, reviews, or metadata to game models. FEELACY may demote deceptive optimization and explain material business-user ranking terms where law requires. Where consent is the legal basis, it must be specific, informed, freely given, recorded, and as easy to withdraw as to provide.</w:t>
      </w:r>
    </w:p>
    <w:p>
      <w:pPr>
        <w:pStyle w:val="Heading2"/>
      </w:pPr>
      <w:r>
        <w:t>10. Privacy and automated decisions</w:t>
      </w:r>
    </w:p>
    <w:p>
      <w:r>
        <w:t>Personal data used by AI is governed by the Privacy Policy. EEA and UK individuals may have rights concerning solely automated decisions with legal or similarly significant effects, including information, human intervention, and contest. Covered U.S. residents may opt out of certain profiling. Requests go to [PRIVACY EMAIL]. A restriction under this section will not be applied more broadly or for longer than reasonably necessary for its lawful purpose.</w:t>
      </w:r>
    </w:p>
    <w:p>
      <w:pPr>
        <w:pStyle w:val="Heading2"/>
      </w:pPr>
      <w:r>
        <w:t>11. Feedback and changes</w:t>
      </w:r>
    </w:p>
    <w:p>
      <w:r>
        <w:t>Users can report harmful or inaccurate output at [AI FEEDBACK URL]. FEELACY may update models, vendors, parameters, and interfaces; material changes to user rights or data use receive appropriate notice. Version and evaluation records should support audits and regulator inquiries. FEELACY and the relevant merchant must preserve evidence reasonably needed to demonstrate compliance and resolve a good-faith complaint.</w:t>
      </w:r>
    </w:p>
    <w:p>
      <w:pPr>
        <w:pStyle w:val="Heading1"/>
      </w:pPr>
      <w:r>
        <w:t>EU Digital Services Act Notice and Action Policy</w:t>
      </w:r>
    </w:p>
    <w:p>
      <w:pPr>
        <w:pStyle w:val="Heading2"/>
      </w:pPr>
      <w:r>
        <w:t>1. Scope and provider status</w:t>
      </w:r>
    </w:p>
    <w:p>
      <w:r>
        <w:t>This policy applies to recipients in the European Union where FEELACY provides an intermediary or online platform service within Regulation (EU) 2022/2065. FEELACY’s exact provider classification, establishment, average monthly active recipients, and any micro or small enterprise exemption must be confirmed at [DSA STATUS PAGE]. Required disclosures must be clear, timely, accessible, and presented before the user makes the decision they are intended to inform.</w:t>
      </w:r>
    </w:p>
    <w:p>
      <w:pPr>
        <w:pStyle w:val="Heading2"/>
      </w:pPr>
      <w:r>
        <w:t>2. Points of contact</w:t>
      </w:r>
    </w:p>
    <w:p>
      <w:r>
        <w:t>Authorities may contact FEELACY at [DSA AUTHORITY CONTACT] in an accepted language listed at [LANGUAGES]. Recipients may use [DSA USER CONTACT]. If FEELACY lacks an EU establishment, its legal representative is [EU LEGAL REPRESENTATIVE]. These channels do not replace emergency services or formal service methods required by law. A restriction under this section will not be applied more broadly or for longer than reasonably necessary for its lawful purpose.</w:t>
      </w:r>
    </w:p>
    <w:p>
      <w:pPr>
        <w:pStyle w:val="Heading2"/>
      </w:pPr>
      <w:r>
        <w:t>3. Submitting a notice</w:t>
      </w:r>
    </w:p>
    <w:p>
      <w:r>
        <w:t>A person may submit a notice at [DSA NOTICE URL] identifying the allegedly illegal item, its exact electronic location, reasons the content or product is illegal, the notifier’s name and email except where law permits omission, and a good-faith accuracy statement. The tool should acknowledge receipt and allow attachments without imposing unnecessary barriers. FEELACY and the relevant merchant must preserve evidence reasonably needed to demonstrate compliance and resolve a good-faith complaint.</w:t>
      </w:r>
    </w:p>
    <w:p>
      <w:pPr>
        <w:pStyle w:val="Heading2"/>
      </w:pPr>
      <w:r>
        <w:t>4. Assessment</w:t>
      </w:r>
    </w:p>
    <w:p>
      <w:r>
        <w:t>FEELACY processes notices in a timely, diligent, non-arbitrary, and objective manner. A sufficiently precise and substantiated notice may create actual knowledge for the identified item. Review considers applicable Union or Member State law, context, evidence, territorial scope, fundamental rights, urgency, and whether narrower action is adequate. FEELACY may request clarification but will not delay obvious urgent action. A restriction under this section will not be applied more broadly or for longer than reasonably necessary for its lawful purpose.</w:t>
      </w:r>
    </w:p>
    <w:p>
      <w:pPr>
        <w:pStyle w:val="Heading2"/>
      </w:pPr>
      <w:r>
        <w:t>5. Actions and statements of reasons</w:t>
      </w:r>
    </w:p>
    <w:p>
      <w:r>
        <w:t>Possible measures include no action, geographic restriction, delisting, removal, disabling access, payment restriction, seller suspension, account suspension, or referral. Affected recipients receive a clear and specific statement of reasons where Article 17 applies, including facts, legal or contractual ground, territorial scope, automation used, duration, and redress options, subject to lawful exceptions. Required disclosures must be clear, timely, accessible, and presented before the user makes the decision they are intended to inform.</w:t>
      </w:r>
    </w:p>
    <w:p>
      <w:pPr>
        <w:pStyle w:val="Heading2"/>
      </w:pPr>
      <w:r>
        <w:t>6. Internal complaint handling</w:t>
      </w:r>
    </w:p>
    <w:p>
      <w:r>
        <w:t>Eligible recipients may challenge qualifying decisions free of charge through [DSA COMPLAINT URL] for at least six months from the decision or the longer period FEELACY adopts. Complaints are handled promptly, non-discriminatorily, and with qualified human supervision; decisions are reversed without undue delay when unsupported. Abuse of the system may be addressed only under the DSA’s conditions. FEELACY and the relevant merchant must preserve evidence reasonably needed to demonstrate compliance and resolve a good-faith complaint.</w:t>
      </w:r>
    </w:p>
    <w:p>
      <w:pPr>
        <w:pStyle w:val="Heading2"/>
      </w:pPr>
      <w:r>
        <w:t>7. Out of court dispute settlement</w:t>
      </w:r>
    </w:p>
    <w:p>
      <w:r>
        <w:t>Recipients may select a certified out-of-court dispute settlement body for eligible disputes. FEELACY will engage in good faith and bear fees as allocated by Article 21, without making the body’s decision binding where the law does not. Current certified bodies and instructions appear at [OUT OF COURT SETTLEMENT PAGE]. Court remedies remain available. FEELACY and the relevant merchant must preserve evidence reasonably needed to demonstrate compliance and resolve a good-faith complaint.</w:t>
      </w:r>
    </w:p>
    <w:p>
      <w:pPr>
        <w:pStyle w:val="Heading2"/>
      </w:pPr>
      <w:r>
        <w:t>8. Trusted flaggers and authorities</w:t>
      </w:r>
    </w:p>
    <w:p>
      <w:r>
        <w:t>Notices from designated trusted flaggers receive priority and timely processing. Orders from competent authorities are handled under Articles 9 and 10, including territorial scope, reasons, redress, confidentiality, and reporting obligations. FEELACY verifies authenticity and routes cross-border questions through appropriate legal channels. A restriction under this section will not be applied more broadly or for longer than reasonably necessary for its lawful purpose.</w:t>
      </w:r>
    </w:p>
    <w:p>
      <w:pPr>
        <w:pStyle w:val="Heading2"/>
      </w:pPr>
      <w:r>
        <w:t>9. Trader traceability and compliance by design</w:t>
      </w:r>
    </w:p>
    <w:p>
      <w:r>
        <w:t>Before allowing covered traders to conclude distance contracts with EU consumers, FEELACY collects and makes best efforts to assess required identity, contact, payment, register, and self-certification information. The interface enables traders to provide legally required product and safety information and enables consumers to identify the responsible trader. Failure to cure incomplete information may lead to suspension. A restriction under this section will not be applied more broadly or for longer than reasonably necessary for its lawful purpose.</w:t>
      </w:r>
    </w:p>
    <w:p>
      <w:pPr>
        <w:pStyle w:val="Heading2"/>
      </w:pPr>
      <w:r>
        <w:t>10. Consumer notification and product safety</w:t>
      </w:r>
    </w:p>
    <w:p>
      <w:r>
        <w:t>If FEELACY becomes aware that a trader offered an illegal product or service, it will notify affected EU consumers as Article 32 requires, including identification, illegality, and redress information, for purchases within the applicable period. If direct contact is unavailable, FEELACY publishes accessible information. Safety Gate and market-surveillance cooperation apply where relevant. Where consent is the legal basis, it must be specific, informed, freely given, recorded, and as easy to withdraw as to provide.</w:t>
      </w:r>
    </w:p>
    <w:p>
      <w:pPr>
        <w:pStyle w:val="Heading2"/>
      </w:pPr>
      <w:r>
        <w:t>11. Recommender systems and advertising</w:t>
      </w:r>
    </w:p>
    <w:p>
      <w:r>
        <w:t>FEELACY explains in plain language the main recommender parameters and user influence in the AI and Recommendation Transparency Notice. If Article 38 applies, at least one option not based on profiling will be offered. Advertisements are identifiable and disclose the sponsor and payer as required. Dark patterns are prohibited. Required disclosures must be clear, timely, accessible, and presented before the user makes the decision they are intended to inform.</w:t>
      </w:r>
    </w:p>
    <w:p>
      <w:pPr>
        <w:pStyle w:val="Heading2"/>
      </w:pPr>
      <w:r>
        <w:t>12. Transparency and systemic duties</w:t>
      </w:r>
    </w:p>
    <w:p>
      <w:r>
        <w:t>FEELACY will publish the transparency reports required for its classification, including moderation volumes, own-initiative measures, automated tools, complaints, out-of-court disputes, and active-recipient data. If designated a very large online platform, additional risk assessment, mitigation, audit, repository, researcher-access, crisis-response, and compliance obligations will be implemented. No designation is assumed in this draft. Required disclosures must be clear, timely, accessible, and presented before the user makes the decision they are intended to inform.</w:t>
      </w:r>
    </w:p>
    <w:p>
      <w:pPr>
        <w:pStyle w:val="Heading1"/>
      </w:pPr>
      <w:r>
        <w:t>Global legal notices</w:t>
      </w:r>
    </w:p>
    <w:p>
      <w:r>
        <w:t>Nothing in these documents excludes, restricts, or delays a right or remedy that applicable law does not permit FEELACY or a merchant to exclude, restrict, or delay. Consumers may rely on mandatory protections of their habitual residence.</w:t>
      </w:r>
    </w:p>
    <w:p>
      <w:pPr>
        <w:pStyle w:val="Heading2"/>
      </w:pPr>
      <w:r>
        <w:t>United States</w:t>
      </w:r>
    </w:p>
    <w:p>
      <w:r>
        <w:t>Federal and state rules may differ on alcohol licensing and shipment, auto-renewal, privacy, warranties, promotions, taxes, accessibility, arbitration, and consumer notices.</w:t>
      </w:r>
    </w:p>
    <w:p>
      <w:pPr>
        <w:pStyle w:val="Heading2"/>
      </w:pPr>
      <w:r>
        <w:t>European Union and European Economic Area</w:t>
      </w:r>
    </w:p>
    <w:p>
      <w:r>
        <w:t>Mandatory consumer, unfair-terms, product-safety, privacy, e-commerce, accessibility, and Digital Services Act rules apply according to FEELACY’s role and location.</w:t>
      </w:r>
    </w:p>
    <w:p>
      <w:pPr>
        <w:pStyle w:val="Heading2"/>
      </w:pPr>
      <w:r>
        <w:t>United Kingdom</w:t>
      </w:r>
    </w:p>
    <w:p>
      <w:r>
        <w:t>UK consumer, e-commerce, privacy, competition, online safety, accessibility, and alcohol rules apply independently.</w:t>
      </w:r>
    </w:p>
    <w:p>
      <w:pPr>
        <w:pStyle w:val="Heading2"/>
      </w:pPr>
      <w:r>
        <w:t>Other markets</w:t>
      </w:r>
    </w:p>
    <w:p>
      <w:r>
        <w:t>FEELACY should launch only after confirming local entity, licensing, import, tax, consumer, privacy, advertising, product, and dispute requirements.</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aramond" w:hAnsi="Garamond"/>
        <w:color w:val="651B2B"/>
        <w:sz w:val="16"/>
      </w:rPr>
      <w:t xml:space="preserve">FEELACY  •  Legal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aramond" w:hAnsi="Garamond"/>
        <w:color w:val="651B2B"/>
        <w:sz w:val="16"/>
      </w:rPr>
      <w:t>FEELACY LEGAL  |  DISCLAIMERS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40" w:lineRule="auto"/>
    </w:pPr>
    <w:rPr>
      <w:rFonts w:ascii="Garamond" w:hAnsi="Garamond"/>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Garamond" w:hAnsi="Garamond"/>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Garamond" w:hAnsi="Garamond"/>
      <w:b/>
      <w:bCs/>
      <w:color w:val="651B2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Garamond" w:hAnsi="Garamond"/>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Garamond" w:hAnsi="Garamond"/>
      <w:i/>
      <w:iCs/>
      <w:color w:val="651B2B"/>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