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Garamond" w:hAnsi="Garamond"/>
          <w:b/>
          <w:color w:val="B08D35"/>
          <w:sz w:val="32"/>
        </w:rPr>
        <w:t>FEELACY</w:t>
      </w:r>
    </w:p>
    <w:p>
      <w:pPr>
        <w:pStyle w:val="Title"/>
        <w:jc w:val="center"/>
      </w:pPr>
      <w:r>
        <w:t>Privacy Policy</w:t>
      </w:r>
    </w:p>
    <w:p>
      <w:pPr>
        <w:jc w:val="center"/>
      </w:pPr>
      <w:r>
        <w:t>Effective date  [INSERT DATE]  •  Last updated  [INSERT DATE]</w:t>
      </w:r>
    </w:p>
    <w:p>
      <w:r>
        <w:t>This Privacy Policy explains how FEELACY collects, uses, shares, protects, and retains personal data and how individuals may exercise privacy rights. This document should be read with the other FEELACY legal pages. Mandatory rights under applicable law always prevail.</w:t>
      </w:r>
    </w:p>
    <w:p>
      <w:r>
        <w:rPr>
          <w:b/>
        </w:rPr>
        <w:t xml:space="preserve">Other FEELACY legal pages  </w:t>
      </w:r>
      <w:r>
        <w:t>Terms of Use • Policies • Cookie Policy • Privacy Policy • Disclaimers</w:t>
      </w:r>
    </w:p>
    <w:p>
      <w:pPr>
        <w:pStyle w:val="Heading1"/>
      </w:pPr>
      <w:r>
        <w:t>1. Who controls personal data</w:t>
      </w:r>
    </w:p>
    <w:p>
      <w:r>
        <w:t>The FEELACY entity identified for the user’s region is controller for accounts, marketplace operation, marketing, security, and personalization. Independent merchants are separate controllers for their sales, fulfillment, warranties, legal records, and direct communications, unless a specific arrangement says otherwise. Payment, identity, analytics, and delivery providers may act as processors or independent controllers according to their roles. Required disclosures must be clear, timely, accessible, and presented before the user makes the decision they are intended to inform.</w:t>
      </w:r>
    </w:p>
    <w:p>
      <w:pPr>
        <w:pStyle w:val="Heading1"/>
      </w:pPr>
      <w:r>
        <w:t>2. Data collected</w:t>
      </w:r>
    </w:p>
    <w:p>
      <w:r>
        <w:t>FEELACY may collect identifiers, contact details, account credentials, age and identity verification results, orders, payments and token references, addresses, merchant credentials, support communications, reviews, images, preferences, device and network data, approximate or precise location with permission, cookie identifiers, inferences, and interactions with search, voice, and AI tools. Raw government IDs should be minimized and retained only when justified. FEELACY and the relevant merchant must preserve evidence reasonably needed to demonstrate compliance and resolve a good-faith complaint.</w:t>
      </w:r>
    </w:p>
    <w:p>
      <w:pPr>
        <w:pStyle w:val="Heading1"/>
      </w:pPr>
      <w:r>
        <w:t>3. Sources</w:t>
      </w:r>
    </w:p>
    <w:p>
      <w:r>
        <w:t>Data comes from users, merchants, devices and browsers, payment and identity providers, carriers, fraud and sanctions services, social sign-in providers, public registers, affiliates, and lawful partners. FEELACY should identify materially different third-party sources at collection where required. Information inferred from behavior is labeled as inference rather than fact when used in meaningful profiles. Required disclosures must be clear, timely, accessible, and presented before the user makes the decision they are intended to inform.</w:t>
      </w:r>
    </w:p>
    <w:p>
      <w:pPr>
        <w:pStyle w:val="Heading1"/>
      </w:pPr>
      <w:r>
        <w:t>4. Purposes and legal bases</w:t>
      </w:r>
    </w:p>
    <w:p>
      <w:r>
        <w:t>Purposes include providing accounts and orders, verifying age and merchants, processing payments, delivering products, customer support, security, fraud prevention, legal compliance, analytics, product improvement, personalization, advertising, and communications. EEA and UK bases may include contract, legal obligation, legitimate interests balanced against rights, consent, and protection of vital interests. Consent is used where required for non-essential cookies, direct marketing, precise location, or special-category processing. Where consent is the legal basis, it must be specific, informed, freely given, recorded, and as easy to withdraw as to provide.</w:t>
      </w:r>
    </w:p>
    <w:p>
      <w:pPr>
        <w:pStyle w:val="Heading1"/>
      </w:pPr>
      <w:r>
        <w:t>5. Sharing and marketplace disclosures</w:t>
      </w:r>
    </w:p>
    <w:p>
      <w:r>
        <w:t>Data may be shared with the contracting merchant, processors, carriers, payment and identity services, professional advisers, authorities, affiliates, and transaction counterparties. Only information reasonably necessary for the purpose is shared. FEELACY does not disclose personal data for money as an ordinary business model; certain advertising or analytics disclosures may constitute sale, sharing, or targeted advertising under U.S. state law and are subject to opt-out rights. Required disclosures must be clear, timely, accessible, and presented before the user makes the decision they are intended to inform.</w:t>
      </w:r>
    </w:p>
    <w:p>
      <w:pPr>
        <w:pStyle w:val="Heading1"/>
      </w:pPr>
      <w:r>
        <w:t>6. International transfers</w:t>
      </w:r>
    </w:p>
    <w:p>
      <w:r>
        <w:t>Personal data may be processed outside the user’s country. For restricted transfers, FEELACY will use an adequacy decision, the EU Standard Contractual Clauses, the UK International Data Transfer Agreement or Addendum, another recognized mechanism, or a lawful derogation, plus supplementary measures where appropriate. Copies or summaries of safeguards may be requested from [PRIVACY EMAIL], subject to redaction. Required disclosures must be clear, timely, accessible, and presented before the user makes the decision they are intended to inform.</w:t>
      </w:r>
    </w:p>
    <w:p>
      <w:pPr>
        <w:pStyle w:val="Heading1"/>
      </w:pPr>
      <w:r>
        <w:t>7. Retention</w:t>
      </w:r>
    </w:p>
    <w:p>
      <w:r>
        <w:t>FEELACY retains data only as long as reasonably necessary for the stated purpose, including account life, transaction and tax periods, licensing and age-verification rules, disputes, chargebacks, safety, fraud prevention, and legal holds. Criteria include sensitivity, volume, risk, statutory limitation periods, and whether aggregation or deletion can meet the need. A counsel-approved retention schedule should populate [RETENTION SCHEDULE REFERENCE]. Required disclosures must be clear, timely, accessible, and presented before the user makes the decision they are intended to inform.</w:t>
      </w:r>
    </w:p>
    <w:p>
      <w:pPr>
        <w:pStyle w:val="Heading1"/>
      </w:pPr>
      <w:r>
        <w:t>8. Security and incidents</w:t>
      </w:r>
    </w:p>
    <w:p>
      <w:r>
        <w:t>Administrative, technical, and physical safeguards are designed around risk, including access controls, encryption in transit, monitoring, vendor review, resilience, and incident response. No system is perfectly secure. Users should use unique credentials and report concerns. FEELACY will investigate incidents and notify affected people and regulators within legally required periods when thresholds are met. Required disclosures must be clear, timely, accessible, and presented before the user makes the decision they are intended to inform.</w:t>
      </w:r>
    </w:p>
    <w:p>
      <w:pPr>
        <w:pStyle w:val="Heading1"/>
      </w:pPr>
      <w:r>
        <w:t>9. EEA and UK rights</w:t>
      </w:r>
    </w:p>
    <w:p>
      <w:r>
        <w:t>Depending on law, individuals may request access, correction, deletion, restriction, portability, objection, and withdrawal of consent, and may complain to a supervisory authority. Objections to direct marketing are honored. Rights involving automated decisions include human review and contest where applicable. Requests go to [PRIVACY EMAIL]; identity will be verified proportionately and authorized agents accommodated where required. Where consent is the legal basis, it must be specific, informed, freely given, recorded, and as easy to withdraw as to provide.</w:t>
      </w:r>
    </w:p>
    <w:p>
      <w:pPr>
        <w:pStyle w:val="Heading1"/>
      </w:pPr>
      <w:r>
        <w:t>10. United States state privacy rights</w:t>
      </w:r>
    </w:p>
    <w:p>
      <w:r>
        <w:t>Residents of covered states may have rights to know, access, correct, delete, and obtain portability, and to opt out of sale, sharing, targeted advertising, or qualifying profiling. FEELACY will honor recognized opt-out preference signals where legally required, provide a Do Not Sell or Share link at [PRIVACY CHOICES URL], avoid discriminatory treatment, and offer appeals where required. Sensitive data is limited or consented to as state law requires. FEELACY and the relevant merchant must preserve evidence reasonably needed to demonstrate compliance and resolve a good-faith complaint.</w:t>
      </w:r>
    </w:p>
    <w:p>
      <w:pPr>
        <w:pStyle w:val="Heading1"/>
      </w:pPr>
      <w:r>
        <w:t>11. Children marketing and changes</w:t>
      </w:r>
    </w:p>
    <w:p>
      <w:r>
        <w:t>FEELACY is not directed to children and does not knowingly permit underage alcohol purchasing. General account age is eighteen unless a higher local threshold applies. Marketing choices are available in messages and settings; transactional notices continue. Material policy changes receive appropriate notice. Contact the DPO at [DPO, IF APPLICABLE], the EU representative at [EU LEGAL REPRESENTATIVE], or UK representative at [UK REPRESENTATIVE]. Where consent is the legal basis, it must be specific, informed, freely given, recorded, and as easy to withdraw as to provide.</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51B2B"/>
        <w:sz w:val="16"/>
      </w:rPr>
      <w:t xml:space="preserve">FEELACY  •  Legal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651B2B"/>
        <w:sz w:val="16"/>
      </w:rPr>
      <w:t>FEELACY LEGAL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40" w:lineRule="auto"/>
    </w:pPr>
    <w:rPr>
      <w:rFonts w:ascii="Garamond" w:hAnsi="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aramond" w:hAnsi="Garamond"/>
      <w:b/>
      <w:bCs/>
      <w:color w:val="651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651B2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