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Pr="005B737C" w:rsidRDefault="00A70C40" w:rsidP="00A70C40">
      <w:pPr>
        <w:pStyle w:val="Titre3"/>
        <w:rPr>
          <w:lang w:val="en-US"/>
        </w:rPr>
      </w:pPr>
      <w:bookmarkStart w:id="0" w:name="_GoBack"/>
      <w:r w:rsidRPr="005B737C">
        <w:rPr>
          <w:lang w:val="en-US"/>
        </w:rPr>
        <w:t>Substitution of pitchers</w:t>
      </w:r>
    </w:p>
    <w:tbl>
      <w:tblPr>
        <w:tblStyle w:val="Grilledutableau"/>
        <w:tblW w:w="0" w:type="auto"/>
        <w:tblLook w:val="04A0"/>
      </w:tblPr>
      <w:tblGrid>
        <w:gridCol w:w="1526"/>
        <w:gridCol w:w="7371"/>
      </w:tblGrid>
      <w:tr w:rsidR="005B737C" w:rsidRPr="005B737C" w:rsidTr="005B737C">
        <w:tc>
          <w:tcPr>
            <w:tcW w:w="1526" w:type="dxa"/>
          </w:tcPr>
          <w:bookmarkEnd w:id="0"/>
          <w:p w:rsidR="005B737C" w:rsidRDefault="005B737C" w:rsidP="005B737C">
            <w:pPr>
              <w:pStyle w:val="NormalAnglais"/>
              <w:ind w:right="-121" w:firstLine="0"/>
              <w:rPr>
                <w:rStyle w:val="Rfrenceintense"/>
                <w:bCs w:val="0"/>
                <w:i w:val="0"/>
                <w:color w:val="auto"/>
                <w:spacing w:val="0"/>
                <w:sz w:val="24"/>
              </w:rPr>
            </w:pPr>
            <w:r w:rsidRPr="005B737C">
              <w:rPr>
                <w:rStyle w:val="Rfrenceintense"/>
                <w:bCs w:val="0"/>
                <w:i w:val="0"/>
                <w:color w:val="auto"/>
                <w:spacing w:val="0"/>
                <w:sz w:val="24"/>
              </w:rPr>
              <w:drawing>
                <wp:inline distT="0" distB="0" distL="0" distR="0">
                  <wp:extent cx="827405" cy="1717675"/>
                  <wp:effectExtent l="0" t="19050" r="67945" b="53975"/>
                  <wp:docPr id="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405" cy="171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</w:tcPr>
          <w:p w:rsidR="005B737C" w:rsidRDefault="005B737C" w:rsidP="00A47CA8">
            <w:pPr>
              <w:pStyle w:val="NormalAnglais"/>
              <w:ind w:firstLine="0"/>
              <w:rPr>
                <w:rStyle w:val="Rfrenceintense"/>
                <w:bCs w:val="0"/>
                <w:i w:val="0"/>
                <w:color w:val="auto"/>
                <w:spacing w:val="0"/>
                <w:sz w:val="24"/>
              </w:rPr>
            </w:pPr>
            <w:r w:rsidRPr="005B737C"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  <w:t>When a defense substitution consists of a change of pitcher, in order to make this event stand out more clearly, the horizontal line is emphasized with two oblique strokes. In this</w:t>
            </w:r>
            <w:r w:rsidRPr="005B737C">
              <w:br/>
            </w:r>
            <w:r w:rsidRPr="005B737C">
              <w:rPr>
                <w:rStyle w:val="fontstyle01"/>
                <w:rFonts w:ascii="Times New Roman" w:hAnsi="Times New Roman" w:cstheme="minorBidi"/>
                <w:color w:val="auto"/>
                <w:sz w:val="24"/>
              </w:rPr>
              <w:t>manner, when we come to make our calculations for the pitchers, we can immediately distinguish any pitching substitutions from the other defensive substitutions made.</w:t>
            </w:r>
          </w:p>
        </w:tc>
      </w:tr>
    </w:tbl>
    <w:p w:rsidR="00DC27A3" w:rsidRDefault="00DC27A3" w:rsidP="00DC27A3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US"/>
        </w:rPr>
      </w:pPr>
      <w:r w:rsidRPr="005B737C">
        <w:rPr>
          <w:rStyle w:val="fontstyle01"/>
          <w:rFonts w:ascii="Times New Roman" w:hAnsi="Times New Roman" w:cstheme="minorBidi"/>
          <w:color w:val="auto"/>
          <w:sz w:val="24"/>
          <w:lang w:val="en-US"/>
        </w:rPr>
        <w:t xml:space="preserve">In case a pitcher is substituted, but takes a fielding position and afterwards returns to the mound to pitch, we add both pitching turns to each other. </w:t>
      </w:r>
    </w:p>
    <w:tbl>
      <w:tblPr>
        <w:tblStyle w:val="Grilledutableau"/>
        <w:tblW w:w="0" w:type="auto"/>
        <w:tblLook w:val="04A0"/>
      </w:tblPr>
      <w:tblGrid>
        <w:gridCol w:w="1526"/>
        <w:gridCol w:w="7371"/>
      </w:tblGrid>
      <w:tr w:rsidR="005B737C" w:rsidTr="005B737C">
        <w:tc>
          <w:tcPr>
            <w:tcW w:w="1526" w:type="dxa"/>
          </w:tcPr>
          <w:p w:rsidR="005B737C" w:rsidRDefault="005B737C" w:rsidP="005B737C">
            <w:pPr>
              <w:pStyle w:val="Texte"/>
              <w:ind w:right="-121"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 w:rsidRPr="005B737C"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drawing>
                <wp:inline distT="0" distB="0" distL="0" distR="0">
                  <wp:extent cx="827405" cy="1741805"/>
                  <wp:effectExtent l="0" t="19050" r="67945" b="48895"/>
                  <wp:docPr id="3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405" cy="1741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</w:tcPr>
          <w:p w:rsidR="005B737C" w:rsidRPr="005B737C" w:rsidRDefault="005B737C" w:rsidP="005B737C">
            <w:pPr>
              <w:pStyle w:val="Texte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 w:rsidRPr="005B737C"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  <w:t>In case a pitcher substitution and a fielding substitution occur at the same time, write both ways of recording the substitution.</w:t>
            </w:r>
          </w:p>
          <w:p w:rsidR="005B737C" w:rsidRDefault="005B737C" w:rsidP="00DC27A3">
            <w:pPr>
              <w:pStyle w:val="Texte"/>
              <w:ind w:firstLine="0"/>
              <w:rPr>
                <w:rStyle w:val="fontstyle01"/>
                <w:rFonts w:ascii="Times New Roman" w:hAnsi="Times New Roman" w:cstheme="minorBidi"/>
                <w:color w:val="auto"/>
                <w:sz w:val="24"/>
                <w:lang w:val="en-US"/>
              </w:rPr>
            </w:pPr>
          </w:p>
        </w:tc>
      </w:tr>
    </w:tbl>
    <w:p w:rsidR="005B737C" w:rsidRPr="005B737C" w:rsidRDefault="005B737C" w:rsidP="00DC27A3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US"/>
        </w:rPr>
      </w:pPr>
    </w:p>
    <w:p w:rsidR="00DC3F4B" w:rsidRPr="005B737C" w:rsidRDefault="00DC3F4B" w:rsidP="00DC27A3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US"/>
        </w:rPr>
      </w:pPr>
    </w:p>
    <w:p w:rsidR="00DC3F4B" w:rsidRPr="005B737C" w:rsidRDefault="00DC3F4B" w:rsidP="00DC27A3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US"/>
        </w:rPr>
      </w:pPr>
    </w:p>
    <w:p w:rsidR="00DC3F4B" w:rsidRPr="005B737C" w:rsidRDefault="00DC3F4B" w:rsidP="00DC27A3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US"/>
        </w:rPr>
      </w:pPr>
    </w:p>
    <w:p w:rsidR="00DC3F4B" w:rsidRPr="005B737C" w:rsidRDefault="00DC3F4B" w:rsidP="00DC27A3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US"/>
        </w:rPr>
      </w:pPr>
    </w:p>
    <w:p w:rsidR="00DC3F4B" w:rsidRPr="005B737C" w:rsidRDefault="00DC3F4B" w:rsidP="00DC27A3">
      <w:pPr>
        <w:pStyle w:val="Texte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</w:p>
    <w:sectPr w:rsidR="00DC3F4B" w:rsidRPr="005B737C" w:rsidSect="006E571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B8100D"/>
    <w:rsid w:val="002E4DA8"/>
    <w:rsid w:val="005B737C"/>
    <w:rsid w:val="005C39C3"/>
    <w:rsid w:val="006E571A"/>
    <w:rsid w:val="006F15F3"/>
    <w:rsid w:val="00716B5B"/>
    <w:rsid w:val="00A47CA8"/>
    <w:rsid w:val="00A70C40"/>
    <w:rsid w:val="00B8100D"/>
    <w:rsid w:val="00D53D28"/>
    <w:rsid w:val="00D72331"/>
    <w:rsid w:val="00DC27A3"/>
    <w:rsid w:val="00DC3F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DC27A3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5</TotalTime>
  <Pages>1</Pages>
  <Words>102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5</cp:revision>
  <dcterms:created xsi:type="dcterms:W3CDTF">2019-02-08T10:16:00Z</dcterms:created>
  <dcterms:modified xsi:type="dcterms:W3CDTF">2019-05-17T07:57:00Z</dcterms:modified>
</cp:coreProperties>
</file>