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2AD" w:rsidRDefault="003B02AD" w:rsidP="002B6945">
      <w:pPr>
        <w:pStyle w:val="Titre2"/>
        <w:rPr>
          <w:lang w:val="fr-FR"/>
        </w:rPr>
      </w:pPr>
      <w:bookmarkStart w:id="0" w:name="_Toc531175863"/>
      <w:r>
        <w:rPr>
          <w:lang w:val="fr-FR"/>
        </w:rPr>
        <w:t>Balles logées dans le masque ou le matériel de l’arbitre ou du receveur.</w:t>
      </w:r>
      <w:bookmarkEnd w:id="0"/>
    </w:p>
    <w:p w:rsidR="003B02AD" w:rsidRDefault="003B02AD" w:rsidP="002A5470">
      <w:pPr>
        <w:sectPr w:rsidR="003B02AD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7A74FF" w:rsidRDefault="007A74FF"/>
    <w:sectPr w:rsidR="007A74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DA"/>
    <w:rsid w:val="003B02AD"/>
    <w:rsid w:val="007803DA"/>
    <w:rsid w:val="007A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80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803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