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F2F" w:rsidRDefault="00BF3F2F" w:rsidP="002B6945">
      <w:pPr>
        <w:pStyle w:val="Titre3"/>
        <w:rPr>
          <w:lang w:val="fr-FR"/>
        </w:rPr>
      </w:pPr>
      <w:bookmarkStart w:id="0" w:name="_Toc531175849"/>
      <w:r>
        <w:rPr>
          <w:lang w:val="fr-FR"/>
        </w:rPr>
        <w:t>L’avance sur une interférence.</w:t>
      </w:r>
      <w:bookmarkEnd w:id="0"/>
    </w:p>
    <w:p w:rsidR="00BF3F2F" w:rsidRDefault="00BF3F2F" w:rsidP="002A5470">
      <w:pPr>
        <w:sectPr w:rsidR="00BF3F2F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1782C" w:rsidRDefault="00D1782C"/>
    <w:sectPr w:rsidR="00D17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68"/>
    <w:rsid w:val="00BF3F2F"/>
    <w:rsid w:val="00C65268"/>
    <w:rsid w:val="00D1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652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6526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