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4CAC" w:rsidRDefault="00BF4CAC" w:rsidP="002B6945">
      <w:pPr>
        <w:pStyle w:val="Titre3"/>
        <w:rPr>
          <w:lang w:val="fr-FR"/>
        </w:rPr>
      </w:pPr>
      <w:bookmarkStart w:id="0" w:name="_Toc531175877"/>
      <w:r>
        <w:rPr>
          <w:lang w:val="fr-FR"/>
        </w:rPr>
        <w:t>Remplacement d’un batteur avant qu’il ne finisse son tour à la batte.</w:t>
      </w:r>
      <w:bookmarkEnd w:id="0"/>
    </w:p>
    <w:p w:rsidR="00BF4CAC" w:rsidRDefault="00BF4CAC" w:rsidP="002A5470">
      <w:pPr>
        <w:sectPr w:rsidR="00BF4CAC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300B02" w:rsidRDefault="00300B02"/>
    <w:sectPr w:rsidR="00300B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C6"/>
    <w:rsid w:val="00300B02"/>
    <w:rsid w:val="00BF4CAC"/>
    <w:rsid w:val="00EF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F41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EF41C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