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3081" w:rsidRDefault="00863081" w:rsidP="00A94946">
      <w:pPr>
        <w:pStyle w:val="Titre3"/>
        <w:rPr>
          <w:lang w:val="fr-FR"/>
        </w:rPr>
      </w:pPr>
      <w:bookmarkStart w:id="0" w:name="_Toc531175822"/>
      <w:r>
        <w:rPr>
          <w:lang w:val="fr-FR"/>
        </w:rPr>
        <w:t>Batteur qui ne respecte l’ordre à la batte.</w:t>
      </w:r>
      <w:bookmarkEnd w:id="0"/>
    </w:p>
    <w:p w:rsidR="00863081" w:rsidRDefault="00863081" w:rsidP="003D3B38">
      <w:pPr>
        <w:sectPr w:rsidR="0086308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C77170" w:rsidRDefault="00C77170"/>
    <w:sectPr w:rsidR="00C771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A0"/>
    <w:rsid w:val="007437A0"/>
    <w:rsid w:val="00863081"/>
    <w:rsid w:val="00C7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437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437A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2018-11-28T12:27:00Z</dcterms:created>
</cp:coreProperties>
</file>