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5F2" w:rsidRDefault="005505F2" w:rsidP="00A94946">
      <w:pPr>
        <w:pStyle w:val="Titre3"/>
        <w:rPr>
          <w:lang w:val="fr-FR"/>
        </w:rPr>
      </w:pPr>
      <w:bookmarkStart w:id="0" w:name="_Toc531175826"/>
      <w:r>
        <w:rPr>
          <w:lang w:val="fr-FR"/>
        </w:rPr>
        <w:t>Les erreurs non décisives.</w:t>
      </w:r>
      <w:bookmarkEnd w:id="0"/>
    </w:p>
    <w:p w:rsidR="005505F2" w:rsidRDefault="005505F2" w:rsidP="00BF2AB1">
      <w:pPr>
        <w:sectPr w:rsidR="005505F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D07BA" w:rsidRDefault="007D07BA"/>
    <w:sectPr w:rsidR="007D07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50"/>
    <w:rsid w:val="004E5C50"/>
    <w:rsid w:val="005505F2"/>
    <w:rsid w:val="007D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E5C5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