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24ED7" w:rsidRDefault="00024ED7" w:rsidP="00024ED7">
      <w:pPr>
        <w:pStyle w:val="Titre1"/>
        <w:rPr>
          <w:rStyle w:val="Rfrenceintense"/>
          <w:bCs/>
          <w:i w:val="0"/>
          <w:color w:val="auto"/>
          <w:spacing w:val="0"/>
          <w:sz w:val="32"/>
        </w:rPr>
      </w:pPr>
      <w:r w:rsidRPr="00024ED7">
        <w:rPr>
          <w:rStyle w:val="Rfrenceintense"/>
          <w:bCs/>
          <w:i w:val="0"/>
          <w:color w:val="auto"/>
          <w:spacing w:val="0"/>
          <w:sz w:val="32"/>
        </w:rPr>
        <w:t>Les éditeurs</w:t>
      </w:r>
    </w:p>
    <w:p w:rsidR="00024ED7" w:rsidRDefault="00024ED7" w:rsidP="00024ED7">
      <w:pPr>
        <w:pStyle w:val="Texte"/>
      </w:pPr>
    </w:p>
    <w:p w:rsidR="00024ED7" w:rsidRDefault="00024ED7" w:rsidP="00024ED7">
      <w:pPr>
        <w:pStyle w:val="Texte"/>
      </w:pPr>
      <w:r>
        <w:t>L’outil comporte deux éditeurs,</w:t>
      </w:r>
    </w:p>
    <w:p w:rsidR="00024ED7" w:rsidRDefault="00024ED7" w:rsidP="00024ED7">
      <w:pPr>
        <w:pStyle w:val="Texte"/>
        <w:numPr>
          <w:ilvl w:val="0"/>
          <w:numId w:val="1"/>
        </w:numPr>
      </w:pPr>
      <w:r>
        <w:t>Le premier permet de décrire un club engagé dans une saison. Il permet de définir la liste des membres d’un club, d’indiquer à quelle catégorie ils vont jouer, et pour finir quel sont les officiels et leur rôles dans les match</w:t>
      </w:r>
      <w:r w:rsidR="000362F6">
        <w:t>s</w:t>
      </w:r>
      <w:r>
        <w:t>.</w:t>
      </w:r>
    </w:p>
    <w:p w:rsidR="00024ED7" w:rsidRDefault="00024ED7" w:rsidP="00024ED7">
      <w:pPr>
        <w:pStyle w:val="Texte"/>
        <w:numPr>
          <w:ilvl w:val="0"/>
          <w:numId w:val="1"/>
        </w:numPr>
      </w:pPr>
      <w:r>
        <w:t>Le second permet de décrire un  match. Le fichier qui est édit</w:t>
      </w:r>
      <w:r w:rsidR="000362F6">
        <w:t>é</w:t>
      </w:r>
      <w:r>
        <w:t xml:space="preserve"> contient toutes les informations nécessaires pour remplir une feuille de </w:t>
      </w:r>
      <w:proofErr w:type="spellStart"/>
      <w:r>
        <w:t>scorage</w:t>
      </w:r>
      <w:proofErr w:type="spellEnd"/>
      <w:r>
        <w:t xml:space="preserve"> officiel.  </w:t>
      </w:r>
    </w:p>
    <w:p w:rsidR="00024ED7" w:rsidRDefault="001A6427" w:rsidP="00024ED7">
      <w:r>
        <w:t>Les deux éditeurs sont des éditeurs de texte qui doivent respecter une grammaire et un vocabulaire. Ce</w:t>
      </w:r>
      <w:r w:rsidR="000362F6">
        <w:t>s</w:t>
      </w:r>
      <w:r>
        <w:t xml:space="preserve"> vocabulaire</w:t>
      </w:r>
      <w:r w:rsidR="000362F6">
        <w:t>s</w:t>
      </w:r>
      <w:r>
        <w:t xml:space="preserve"> et ce</w:t>
      </w:r>
      <w:r w:rsidR="000362F6">
        <w:t>s</w:t>
      </w:r>
      <w:r>
        <w:t xml:space="preserve"> grammaire</w:t>
      </w:r>
      <w:r w:rsidR="000362F6">
        <w:t>s</w:t>
      </w:r>
      <w:r>
        <w:t xml:space="preserve"> vont être décrits dans les chapitres suivant. Un diagramme de syntaxe permet de décrire graphique la syntaxe du langage et sera utilisé pour décrire le langage. Ces diagrammes de syntaxe ressemblent à ceci :</w:t>
      </w:r>
    </w:p>
    <w:p w:rsidR="001A6427" w:rsidRDefault="001A6427" w:rsidP="00024ED7">
      <w:r>
        <w:rPr>
          <w:noProof/>
          <w:lang w:eastAsia="fr-FR"/>
        </w:rPr>
        <w:drawing>
          <wp:inline distT="0" distB="0" distL="0" distR="0">
            <wp:extent cx="5734050" cy="584200"/>
            <wp:effectExtent l="0" t="19050" r="76200" b="6350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4050" cy="5842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1A6427" w:rsidRDefault="00297AE2" w:rsidP="00024ED7">
      <w:r>
        <w:t>L’élément</w:t>
      </w:r>
      <w:r w:rsidR="001A6427">
        <w:t xml:space="preserve"> </w:t>
      </w:r>
      <w:r>
        <w:t xml:space="preserve">Game </w:t>
      </w:r>
      <w:r w:rsidR="001A6427">
        <w:t>doit être lu de la manière suivante :</w:t>
      </w:r>
    </w:p>
    <w:p w:rsidR="00297AE2" w:rsidRDefault="00297AE2" w:rsidP="00297AE2">
      <w:pPr>
        <w:pStyle w:val="Paragraphedeliste"/>
        <w:numPr>
          <w:ilvl w:val="0"/>
          <w:numId w:val="2"/>
        </w:numPr>
      </w:pPr>
      <w:r>
        <w:t>Il commence par le mot clef ‘</w:t>
      </w:r>
      <w:proofErr w:type="spellStart"/>
      <w:r>
        <w:t>game</w:t>
      </w:r>
      <w:proofErr w:type="spellEnd"/>
      <w:r>
        <w:t>’</w:t>
      </w:r>
    </w:p>
    <w:p w:rsidR="00297AE2" w:rsidRDefault="00297AE2" w:rsidP="00297AE2">
      <w:pPr>
        <w:pStyle w:val="Paragraphedeliste"/>
        <w:numPr>
          <w:ilvl w:val="0"/>
          <w:numId w:val="2"/>
        </w:numPr>
      </w:pPr>
      <w:r>
        <w:t>Il est suivi par une valeur de type String</w:t>
      </w:r>
    </w:p>
    <w:p w:rsidR="001A6427" w:rsidRDefault="00297AE2" w:rsidP="00297AE2">
      <w:pPr>
        <w:pStyle w:val="Paragraphedeliste"/>
        <w:numPr>
          <w:ilvl w:val="0"/>
          <w:numId w:val="2"/>
        </w:numPr>
      </w:pPr>
      <w:r>
        <w:t>Puis d’une accolade ‘{‘</w:t>
      </w:r>
    </w:p>
    <w:p w:rsidR="00297AE2" w:rsidRDefault="00297AE2" w:rsidP="00297AE2">
      <w:pPr>
        <w:pStyle w:val="Paragraphedeliste"/>
        <w:numPr>
          <w:ilvl w:val="0"/>
          <w:numId w:val="2"/>
        </w:numPr>
      </w:pPr>
      <w:r>
        <w:t>Puis d’un élément ‘Description’</w:t>
      </w:r>
    </w:p>
    <w:p w:rsidR="00297AE2" w:rsidRDefault="00297AE2" w:rsidP="00297AE2">
      <w:pPr>
        <w:pStyle w:val="Paragraphedeliste"/>
        <w:numPr>
          <w:ilvl w:val="0"/>
          <w:numId w:val="2"/>
        </w:numPr>
      </w:pPr>
      <w:r>
        <w:t>Puis d’un élément ‘</w:t>
      </w:r>
      <w:proofErr w:type="spellStart"/>
      <w:r>
        <w:t>Roster</w:t>
      </w:r>
      <w:proofErr w:type="spellEnd"/>
      <w:r>
        <w:t>’</w:t>
      </w:r>
    </w:p>
    <w:p w:rsidR="00297AE2" w:rsidRDefault="00297AE2" w:rsidP="00297AE2">
      <w:pPr>
        <w:pStyle w:val="Paragraphedeliste"/>
        <w:numPr>
          <w:ilvl w:val="0"/>
          <w:numId w:val="2"/>
        </w:numPr>
      </w:pPr>
      <w:r>
        <w:t>Puis d’un élément ‘</w:t>
      </w:r>
      <w:proofErr w:type="spellStart"/>
      <w:r>
        <w:t>Roster</w:t>
      </w:r>
      <w:proofErr w:type="spellEnd"/>
      <w:r>
        <w:t>’</w:t>
      </w:r>
    </w:p>
    <w:p w:rsidR="00297AE2" w:rsidRDefault="00297AE2" w:rsidP="00297AE2">
      <w:pPr>
        <w:pStyle w:val="Paragraphedeliste"/>
        <w:numPr>
          <w:ilvl w:val="0"/>
          <w:numId w:val="2"/>
        </w:numPr>
      </w:pPr>
      <w:r>
        <w:t>Puis, au choix, d’un élément ‘</w:t>
      </w:r>
      <w:proofErr w:type="spellStart"/>
      <w:r>
        <w:t>ForfaitGame</w:t>
      </w:r>
      <w:proofErr w:type="spellEnd"/>
      <w:r>
        <w:t>’ ou d’un élément ‘Actions’</w:t>
      </w:r>
    </w:p>
    <w:p w:rsidR="00297AE2" w:rsidRDefault="00297AE2" w:rsidP="00297AE2">
      <w:pPr>
        <w:pStyle w:val="Paragraphedeliste"/>
        <w:numPr>
          <w:ilvl w:val="0"/>
          <w:numId w:val="2"/>
        </w:numPr>
      </w:pPr>
      <w:r>
        <w:t>Et doit finir par une accolade ‘}‘</w:t>
      </w:r>
    </w:p>
    <w:p w:rsidR="00F43245" w:rsidRDefault="00F43245" w:rsidP="00F43245">
      <w:r>
        <w:t>Le tableau suivant décrit les symboles utilisés par ces diagrammes</w:t>
      </w:r>
    </w:p>
    <w:tbl>
      <w:tblPr>
        <w:tblStyle w:val="Grilledutableau"/>
        <w:tblW w:w="0" w:type="auto"/>
        <w:tblLook w:val="04A0"/>
      </w:tblPr>
      <w:tblGrid>
        <w:gridCol w:w="2553"/>
        <w:gridCol w:w="7069"/>
      </w:tblGrid>
      <w:tr w:rsidR="00F43245" w:rsidTr="00F43245">
        <w:tc>
          <w:tcPr>
            <w:tcW w:w="2376" w:type="dxa"/>
          </w:tcPr>
          <w:p w:rsidR="00F43245" w:rsidRDefault="00F43245" w:rsidP="00F43245">
            <w:pPr>
              <w:ind w:firstLine="0"/>
            </w:pPr>
            <w:r>
              <w:t>Le symbole</w:t>
            </w:r>
          </w:p>
        </w:tc>
        <w:tc>
          <w:tcPr>
            <w:tcW w:w="7170" w:type="dxa"/>
          </w:tcPr>
          <w:p w:rsidR="00F43245" w:rsidRDefault="00F43245" w:rsidP="00F43245">
            <w:pPr>
              <w:ind w:firstLine="0"/>
            </w:pPr>
            <w:r>
              <w:t>Description</w:t>
            </w:r>
          </w:p>
        </w:tc>
      </w:tr>
      <w:tr w:rsidR="00F43245" w:rsidTr="00F43245">
        <w:tc>
          <w:tcPr>
            <w:tcW w:w="2376" w:type="dxa"/>
          </w:tcPr>
          <w:p w:rsidR="00F43245" w:rsidRDefault="00F43245" w:rsidP="00F43245">
            <w:pPr>
              <w:ind w:firstLine="0"/>
            </w:pPr>
            <w:r>
              <w:rPr>
                <w:noProof/>
                <w:lang w:eastAsia="fr-FR"/>
              </w:rPr>
              <w:drawing>
                <wp:inline distT="0" distB="0" distL="0" distR="0">
                  <wp:extent cx="469900" cy="546100"/>
                  <wp:effectExtent l="0" t="19050" r="82550" b="6350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69900" cy="5461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170" w:type="dxa"/>
          </w:tcPr>
          <w:p w:rsidR="00F43245" w:rsidRDefault="00F43245" w:rsidP="00F43245">
            <w:pPr>
              <w:ind w:firstLine="0"/>
            </w:pPr>
            <w:r>
              <w:t>C’est le nom de l’élément qui est décrit par le diagramme</w:t>
            </w:r>
          </w:p>
        </w:tc>
      </w:tr>
      <w:tr w:rsidR="00F43245" w:rsidTr="00F43245">
        <w:tc>
          <w:tcPr>
            <w:tcW w:w="2376" w:type="dxa"/>
          </w:tcPr>
          <w:p w:rsidR="00F43245" w:rsidRDefault="00F43245" w:rsidP="00F43245">
            <w:pPr>
              <w:ind w:firstLine="0"/>
            </w:pPr>
            <w:r>
              <w:rPr>
                <w:noProof/>
                <w:lang w:eastAsia="fr-FR"/>
              </w:rPr>
              <w:lastRenderedPageBreak/>
              <w:drawing>
                <wp:inline distT="0" distB="0" distL="0" distR="0">
                  <wp:extent cx="488950" cy="342900"/>
                  <wp:effectExtent l="0" t="19050" r="82550" b="571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88950" cy="342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170" w:type="dxa"/>
          </w:tcPr>
          <w:p w:rsidR="00F43245" w:rsidRDefault="00F43245" w:rsidP="00F43245">
            <w:pPr>
              <w:ind w:firstLine="0"/>
            </w:pPr>
            <w:r>
              <w:t>Un mot clef du langage</w:t>
            </w:r>
          </w:p>
        </w:tc>
      </w:tr>
      <w:tr w:rsidR="00F43245" w:rsidTr="00F43245">
        <w:tc>
          <w:tcPr>
            <w:tcW w:w="2376" w:type="dxa"/>
          </w:tcPr>
          <w:p w:rsidR="00F43245" w:rsidRDefault="00F43245" w:rsidP="00F43245">
            <w:pPr>
              <w:ind w:firstLine="0"/>
            </w:pPr>
            <w:r>
              <w:rPr>
                <w:noProof/>
                <w:lang w:eastAsia="fr-FR"/>
              </w:rPr>
              <w:drawing>
                <wp:inline distT="0" distB="0" distL="0" distR="0">
                  <wp:extent cx="609600" cy="342900"/>
                  <wp:effectExtent l="0" t="19050" r="76200" b="571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609600" cy="3429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F43245" w:rsidRDefault="00F43245" w:rsidP="00F43245">
            <w:pPr>
              <w:ind w:firstLine="0"/>
            </w:pPr>
            <w:r>
              <w:rPr>
                <w:noProof/>
                <w:lang w:eastAsia="fr-FR"/>
              </w:rPr>
              <w:drawing>
                <wp:inline distT="0" distB="0" distL="0" distR="0">
                  <wp:extent cx="1022350" cy="400050"/>
                  <wp:effectExtent l="0" t="19050" r="82550" b="571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1022350" cy="4000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170" w:type="dxa"/>
          </w:tcPr>
          <w:p w:rsidR="00F43245" w:rsidRDefault="00F43245" w:rsidP="00F43245">
            <w:pPr>
              <w:ind w:firstLine="0"/>
            </w:pPr>
            <w:r>
              <w:t>C’est une référence à un sous élément du langage</w:t>
            </w:r>
          </w:p>
          <w:p w:rsidR="00F43245" w:rsidRDefault="00F43245" w:rsidP="00F43245">
            <w:r>
              <w:t xml:space="preserve">Il existe deux sous types prédéfinies de valeurs. </w:t>
            </w:r>
          </w:p>
          <w:p w:rsidR="00F43245" w:rsidRDefault="00F43245" w:rsidP="00F43245">
            <w:pPr>
              <w:pStyle w:val="Paragraphedeliste"/>
              <w:numPr>
                <w:ilvl w:val="0"/>
                <w:numId w:val="3"/>
              </w:numPr>
            </w:pPr>
            <w:r>
              <w:t>Le type ‘</w:t>
            </w:r>
            <w:r w:rsidRPr="00F43245">
              <w:rPr>
                <w:b/>
              </w:rPr>
              <w:t>STRING</w:t>
            </w:r>
            <w:r>
              <w:t>’ permet de définir une valeur sous la forme d’une chaine de caractères  et se décrit sous la forme d’un ‘</w:t>
            </w:r>
            <w:r w:rsidRPr="00297AE2">
              <w:t>"</w:t>
            </w:r>
            <w:r>
              <w:t> ’  suivi d »une liste de caractères et qui se termine par un ‘</w:t>
            </w:r>
            <w:r w:rsidRPr="00297AE2">
              <w:t>"</w:t>
            </w:r>
            <w:r>
              <w:t> </w:t>
            </w:r>
            <w:proofErr w:type="gramStart"/>
            <w:r>
              <w:t>’ ,</w:t>
            </w:r>
            <w:proofErr w:type="gramEnd"/>
            <w:r>
              <w:t xml:space="preserve"> comme par exemple </w:t>
            </w:r>
            <w:r w:rsidRPr="00297AE2">
              <w:t>"</w:t>
            </w:r>
            <w:r>
              <w:t>J1R14</w:t>
            </w:r>
            <w:r w:rsidRPr="00297AE2">
              <w:t>"</w:t>
            </w:r>
            <w:r>
              <w:t> </w:t>
            </w:r>
          </w:p>
          <w:p w:rsidR="00F43245" w:rsidRPr="00F43245" w:rsidRDefault="00F43245" w:rsidP="00F43245">
            <w:pPr>
              <w:pStyle w:val="Paragraphedeliste"/>
              <w:numPr>
                <w:ilvl w:val="0"/>
                <w:numId w:val="3"/>
              </w:numPr>
            </w:pPr>
            <w:r>
              <w:t>Le type ‘</w:t>
            </w:r>
            <w:r w:rsidRPr="00F43245">
              <w:rPr>
                <w:b/>
              </w:rPr>
              <w:t>INT</w:t>
            </w:r>
            <w:r>
              <w:t>’ permet de définir une valeur numérique comme par exemple 1, 123, 12543.</w:t>
            </w:r>
          </w:p>
        </w:tc>
      </w:tr>
      <w:tr w:rsidR="00F43245" w:rsidTr="00F43245">
        <w:tc>
          <w:tcPr>
            <w:tcW w:w="2376" w:type="dxa"/>
          </w:tcPr>
          <w:p w:rsidR="00F43245" w:rsidRDefault="00F43245" w:rsidP="00F43245">
            <w:pPr>
              <w:ind w:firstLine="0"/>
              <w:rPr>
                <w:noProof/>
                <w:lang w:eastAsia="fr-FR"/>
              </w:rPr>
            </w:pPr>
            <w:r>
              <w:rPr>
                <w:noProof/>
                <w:lang w:eastAsia="fr-FR"/>
              </w:rPr>
              <w:drawing>
                <wp:inline distT="0" distB="0" distL="0" distR="0">
                  <wp:extent cx="1047750" cy="609600"/>
                  <wp:effectExtent l="0" t="19050" r="76200" b="571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1047750" cy="6096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170" w:type="dxa"/>
          </w:tcPr>
          <w:p w:rsidR="00F43245" w:rsidRDefault="00F43245" w:rsidP="00F43245">
            <w:pPr>
              <w:ind w:firstLine="0"/>
            </w:pPr>
            <w:r>
              <w:t xml:space="preserve">C’est un choix entre rien et un sous élément de type </w:t>
            </w:r>
            <w:proofErr w:type="spellStart"/>
            <w:r>
              <w:t>LineUp</w:t>
            </w:r>
            <w:proofErr w:type="spellEnd"/>
          </w:p>
        </w:tc>
      </w:tr>
    </w:tbl>
    <w:p w:rsidR="00F43245" w:rsidRDefault="00F43245" w:rsidP="00F43245">
      <w:r>
        <w:t xml:space="preserve"> </w:t>
      </w:r>
    </w:p>
    <w:p w:rsidR="00E138A4" w:rsidRDefault="00E138A4" w:rsidP="00F43245">
      <w:r>
        <w:t xml:space="preserve">L’exemple suivant décrit donne un aperçu du texte correspondant au diagramme présenté plus haut dans ce document </w:t>
      </w:r>
    </w:p>
    <w:p w:rsidR="00F43245" w:rsidRDefault="00F43245" w:rsidP="00E138A4">
      <w:pPr>
        <w:jc w:val="center"/>
      </w:pPr>
      <w:r>
        <w:rPr>
          <w:noProof/>
          <w:lang w:eastAsia="fr-FR"/>
        </w:rPr>
        <w:drawing>
          <wp:inline distT="0" distB="0" distL="0" distR="0">
            <wp:extent cx="3740150" cy="3405992"/>
            <wp:effectExtent l="0" t="19050" r="69850" b="61108"/>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3740150" cy="3405992"/>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E138A4" w:rsidRDefault="00E138A4" w:rsidP="00E138A4">
      <w:pPr>
        <w:pStyle w:val="Texte"/>
      </w:pPr>
      <w:r>
        <w:t>Les chapitres suivant vont décrire plus précisément les différents éléments du langage utilisé pour décrire les clubs et les matchs.</w:t>
      </w:r>
    </w:p>
    <w:p w:rsidR="00E138A4" w:rsidRDefault="00E705F5" w:rsidP="00E138A4">
      <w:pPr>
        <w:pStyle w:val="Texte"/>
      </w:pPr>
      <w:r>
        <w:lastRenderedPageBreak/>
        <w:t xml:space="preserve">Dans l’exemple ci-dessus, on remarque la coloration syntaxique des différents éléments du langage.   En bleu, on retrouve les éléments de type STRING, en violet les mot clef du langage. </w:t>
      </w:r>
    </w:p>
    <w:p w:rsidR="00E705F5" w:rsidRDefault="00F534BF" w:rsidP="00E138A4">
      <w:pPr>
        <w:pStyle w:val="Texte"/>
      </w:pPr>
      <w:r>
        <w:t xml:space="preserve">IL est aussi possible d’ajouter des commentaires n’ importe où dans le texte. </w:t>
      </w:r>
      <w:r w:rsidR="00E705F5">
        <w:t>Ces commentaires ne sont pas exploité par l’outil, par contre ils permettent à l’utilisateur d’ajouter des informations qui pourront être utile pour la lecture de match. Il existe deux types de commentaires :</w:t>
      </w:r>
    </w:p>
    <w:p w:rsidR="00E705F5" w:rsidRDefault="00E705F5" w:rsidP="00E705F5">
      <w:pPr>
        <w:pStyle w:val="Texte"/>
        <w:numPr>
          <w:ilvl w:val="0"/>
          <w:numId w:val="4"/>
        </w:numPr>
      </w:pPr>
      <w:r>
        <w:t>Le commentaire sur une seule ligne : Il commence toujours par // et finie à  la fin de ligne.</w:t>
      </w:r>
    </w:p>
    <w:p w:rsidR="00E705F5" w:rsidRDefault="00E705F5" w:rsidP="00E705F5">
      <w:pPr>
        <w:pStyle w:val="Texte"/>
        <w:ind w:left="1117" w:firstLine="0"/>
        <w:jc w:val="center"/>
      </w:pPr>
      <w:r>
        <w:rPr>
          <w:noProof/>
          <w:lang w:eastAsia="fr-FR"/>
        </w:rPr>
        <w:drawing>
          <wp:inline distT="0" distB="0" distL="0" distR="0">
            <wp:extent cx="3962400" cy="323850"/>
            <wp:effectExtent l="0" t="19050" r="76200" b="5715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962400" cy="3238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E705F5" w:rsidRDefault="00E705F5" w:rsidP="00E705F5">
      <w:pPr>
        <w:pStyle w:val="Texte"/>
        <w:numPr>
          <w:ilvl w:val="0"/>
          <w:numId w:val="4"/>
        </w:numPr>
      </w:pPr>
      <w:r>
        <w:t>Le commentaire multi ligne : il commence par un /* et finit par */</w:t>
      </w:r>
    </w:p>
    <w:p w:rsidR="00E705F5" w:rsidRDefault="00E705F5" w:rsidP="00E705F5">
      <w:pPr>
        <w:pStyle w:val="Texte"/>
        <w:ind w:left="1117" w:firstLine="0"/>
        <w:jc w:val="center"/>
      </w:pPr>
      <w:r>
        <w:rPr>
          <w:noProof/>
          <w:lang w:eastAsia="fr-FR"/>
        </w:rPr>
        <w:drawing>
          <wp:inline distT="0" distB="0" distL="0" distR="0">
            <wp:extent cx="2622550" cy="584200"/>
            <wp:effectExtent l="0" t="19050" r="82550" b="6350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622550" cy="5842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p w:rsidR="00F534BF" w:rsidRDefault="00E705F5" w:rsidP="00E138A4">
      <w:pPr>
        <w:pStyle w:val="Texte"/>
      </w:pPr>
      <w:r>
        <w:t>Dans ces deux exemples, les commentaires sont  reconnaissables par leur couleur verte.</w:t>
      </w:r>
    </w:p>
    <w:p w:rsidR="00F534BF" w:rsidRDefault="00F534BF" w:rsidP="00E138A4">
      <w:pPr>
        <w:pStyle w:val="Texte"/>
      </w:pPr>
      <w:r>
        <w:t xml:space="preserve">Pour finir, les espaces et tabulations sont ignorées par l’outil. Par contre, ces espaces ou tabulation sont très utiles pour la lecture du texte car ils permettent d’architecturer le texte en bloc facilement identifiable. </w:t>
      </w:r>
    </w:p>
    <w:p w:rsidR="00E705F5" w:rsidRPr="00024ED7" w:rsidRDefault="00E705F5" w:rsidP="00E138A4">
      <w:pPr>
        <w:pStyle w:val="Texte"/>
      </w:pPr>
      <w:r>
        <w:t xml:space="preserve"> </w:t>
      </w:r>
    </w:p>
    <w:sectPr w:rsidR="00E705F5" w:rsidRPr="00024ED7" w:rsidSect="00131791">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AB0BCE"/>
    <w:multiLevelType w:val="hybridMultilevel"/>
    <w:tmpl w:val="25A807D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nsid w:val="1B1C39B6"/>
    <w:multiLevelType w:val="hybridMultilevel"/>
    <w:tmpl w:val="5DC6D81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
    <w:nsid w:val="1C2E4911"/>
    <w:multiLevelType w:val="hybridMultilevel"/>
    <w:tmpl w:val="B65A53E0"/>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
    <w:nsid w:val="2C81112C"/>
    <w:multiLevelType w:val="hybridMultilevel"/>
    <w:tmpl w:val="CA84BCD6"/>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024ED7"/>
    <w:rsid w:val="00024ED7"/>
    <w:rsid w:val="000362F6"/>
    <w:rsid w:val="00131791"/>
    <w:rsid w:val="001A6427"/>
    <w:rsid w:val="00284FE5"/>
    <w:rsid w:val="00297AE2"/>
    <w:rsid w:val="002E4DA8"/>
    <w:rsid w:val="002E5219"/>
    <w:rsid w:val="005C39C3"/>
    <w:rsid w:val="006F15F3"/>
    <w:rsid w:val="008D72C6"/>
    <w:rsid w:val="00A47CA8"/>
    <w:rsid w:val="00D41291"/>
    <w:rsid w:val="00D53D28"/>
    <w:rsid w:val="00D72331"/>
    <w:rsid w:val="00E138A4"/>
    <w:rsid w:val="00E37662"/>
    <w:rsid w:val="00E705F5"/>
    <w:rsid w:val="00F3421E"/>
    <w:rsid w:val="00F43245"/>
    <w:rsid w:val="00F534B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2E5219"/>
    <w:pPr>
      <w:keepNext/>
      <w:keepLines/>
      <w:pageBreakBefore/>
      <w:spacing w:before="480" w:after="0"/>
      <w:jc w:val="left"/>
      <w:outlineLvl w:val="0"/>
    </w:pPr>
    <w:rPr>
      <w:rFonts w:eastAsiaTheme="majorEastAsia" w:cstheme="majorBidi"/>
      <w:b/>
      <w:bCs/>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2E5219"/>
    <w:rPr>
      <w:rFonts w:ascii="Times New Roman" w:eastAsiaTheme="majorEastAsia" w:hAnsi="Times New Roman" w:cstheme="majorBidi"/>
      <w:b/>
      <w:bCs/>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pbri\tmp\Download\perso\projet\Statcrew2\org.bpy.score.help\Doc\Manuel%20utilisateur\Chapitre%203%20-%20Les%20&#233;diteurs\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modele.dotx</Template>
  <TotalTime>58</TotalTime>
  <Pages>3</Pages>
  <Words>457</Words>
  <Characters>2518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BRIAND</dc:creator>
  <cp:lastModifiedBy>Patrick BRIAND</cp:lastModifiedBy>
  <cp:revision>5</cp:revision>
  <dcterms:created xsi:type="dcterms:W3CDTF">2019-03-07T05:30:00Z</dcterms:created>
  <dcterms:modified xsi:type="dcterms:W3CDTF">2019-03-07T16:37:00Z</dcterms:modified>
</cp:coreProperties>
</file>