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632" w:rsidRDefault="000D6632" w:rsidP="002E5880">
      <w:pPr>
        <w:pStyle w:val="Titre3"/>
        <w:rPr>
          <w:lang w:val="fr-FR"/>
        </w:rPr>
      </w:pPr>
      <w:bookmarkStart w:id="0" w:name="_Toc531175811"/>
      <w:r w:rsidRPr="00B55B06">
        <w:rPr>
          <w:lang w:val="fr-FR"/>
        </w:rPr>
        <w:t>Compléter les tables</w:t>
      </w:r>
      <w:r>
        <w:rPr>
          <w:lang w:val="fr-FR"/>
        </w:rPr>
        <w:t>.</w:t>
      </w:r>
      <w:bookmarkEnd w:id="0"/>
    </w:p>
    <w:p w:rsidR="000D6632" w:rsidRDefault="000D6632" w:rsidP="00D91AC9"/>
    <w:p w:rsidR="00B25EB1" w:rsidRPr="00806EB5" w:rsidRDefault="00B25EB1" w:rsidP="00B25EB1">
      <w:r w:rsidRPr="00806EB5">
        <w:t xml:space="preserve">Durant un match, le scoreur ne se contente pas noter les actions dans la partie centrale de la feuille, mais il doit aussi établir les statistiques offensives, défensive ainsi que la performance des lanceurs et des receveurs, utilisant pour cela </w:t>
      </w:r>
      <w:r>
        <w:t>des marques de pointages dans chaque case ce qui permet d’assurer que le total peut être établie à la fin du match.</w:t>
      </w:r>
    </w:p>
    <w:p w:rsidR="00B25EB1" w:rsidRPr="001A463F" w:rsidRDefault="00B25EB1" w:rsidP="00B25EB1">
      <w:r w:rsidRPr="001A463F">
        <w:t xml:space="preserve">Cela ne doit pas être compris comme une contradiction avec les procédures décrites dans les paragraphes précédents, où le mot </w:t>
      </w:r>
      <w:r>
        <w:t>‘</w:t>
      </w:r>
      <w:r w:rsidRPr="001A463F">
        <w:t>nombre</w:t>
      </w:r>
      <w:r>
        <w:t xml:space="preserve">’ </w:t>
      </w:r>
      <w:r w:rsidRPr="001A463F">
        <w:t>est toujours utilisé pour indiquer ce qui doit être écrit dans les différentes cases.</w:t>
      </w:r>
      <w:r w:rsidRPr="003721E2">
        <w:rPr>
          <w:noProof/>
        </w:rPr>
        <w:t xml:space="preserve"> </w:t>
      </w:r>
    </w:p>
    <w:p w:rsidR="00B25EB1" w:rsidRPr="002E08B8" w:rsidRDefault="00B25EB1" w:rsidP="00B25EB1">
      <w:r w:rsidRPr="002E08B8">
        <w:t xml:space="preserve">Voici un exemple de marque de pointage qui peut </w:t>
      </w:r>
      <w:r>
        <w:t>être utilisé :</w:t>
      </w:r>
      <w:r w:rsidRPr="003721E2">
        <w:rPr>
          <w:noProof/>
        </w:rPr>
        <w:t xml:space="preserve"> </w:t>
      </w:r>
    </w:p>
    <w:p w:rsidR="00B25EB1" w:rsidRPr="001E5E8C" w:rsidRDefault="00B25EB1" w:rsidP="00B25EB1">
      <w:r>
        <w:rPr>
          <w:noProof/>
        </w:rPr>
        <w:drawing>
          <wp:anchor distT="0" distB="0" distL="114300" distR="114300" simplePos="0" relativeHeight="251661312" behindDoc="0" locked="0" layoutInCell="1" allowOverlap="1" wp14:anchorId="2C724513" wp14:editId="36D0A6D2">
            <wp:simplePos x="0" y="0"/>
            <wp:positionH relativeFrom="margin">
              <wp:align>center</wp:align>
            </wp:positionH>
            <wp:positionV relativeFrom="paragraph">
              <wp:posOffset>223520</wp:posOffset>
            </wp:positionV>
            <wp:extent cx="209550" cy="139700"/>
            <wp:effectExtent l="0" t="0" r="0" b="0"/>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9550" cy="1397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EB46E6B" wp14:editId="5AFCB9D7">
            <wp:simplePos x="0" y="0"/>
            <wp:positionH relativeFrom="column">
              <wp:posOffset>2590800</wp:posOffset>
            </wp:positionH>
            <wp:positionV relativeFrom="paragraph">
              <wp:posOffset>219075</wp:posOffset>
            </wp:positionV>
            <wp:extent cx="104140" cy="153035"/>
            <wp:effectExtent l="0" t="0" r="0"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flipH="1">
                      <a:off x="0" y="0"/>
                      <a:ext cx="104140" cy="1530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7D9C939D" wp14:editId="7AD7D941">
            <wp:simplePos x="0" y="0"/>
            <wp:positionH relativeFrom="column">
              <wp:posOffset>1475740</wp:posOffset>
            </wp:positionH>
            <wp:positionV relativeFrom="paragraph">
              <wp:posOffset>241300</wp:posOffset>
            </wp:positionV>
            <wp:extent cx="45085" cy="133985"/>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45085" cy="133985"/>
                    </a:xfrm>
                    <a:prstGeom prst="rect">
                      <a:avLst/>
                    </a:prstGeom>
                  </pic:spPr>
                </pic:pic>
              </a:graphicData>
            </a:graphic>
            <wp14:sizeRelH relativeFrom="page">
              <wp14:pctWidth>0</wp14:pctWidth>
            </wp14:sizeRelH>
            <wp14:sizeRelV relativeFrom="page">
              <wp14:pctHeight>0</wp14:pctHeight>
            </wp14:sizeRelV>
          </wp:anchor>
        </w:drawing>
      </w:r>
      <w:r w:rsidRPr="001E5E8C">
        <w:t>Pour indiquer 1 on utilise</w:t>
      </w:r>
      <w:r>
        <w:t xml:space="preserve"> </w:t>
      </w:r>
      <w:r w:rsidRPr="001E5E8C">
        <w:t xml:space="preserve"> </w:t>
      </w:r>
      <w:r>
        <w:t xml:space="preserve">  </w:t>
      </w:r>
      <w:r w:rsidRPr="001E5E8C">
        <w:t>, pour 2 on utilise</w:t>
      </w:r>
      <w:r>
        <w:t xml:space="preserve">  </w:t>
      </w:r>
      <w:r>
        <w:t xml:space="preserve">  </w:t>
      </w:r>
      <w:r w:rsidRPr="001E5E8C">
        <w:t xml:space="preserve">   ,</w:t>
      </w:r>
      <w:r>
        <w:t xml:space="preserve">  </w:t>
      </w:r>
      <w:r>
        <w:t xml:space="preserve">       </w:t>
      </w:r>
      <w:r w:rsidRPr="001E5E8C">
        <w:t xml:space="preserve"> pour 5</w:t>
      </w:r>
      <w:r>
        <w:t xml:space="preserve">  </w:t>
      </w:r>
      <w:r w:rsidRPr="001E5E8C">
        <w:t xml:space="preserve">,  et </w:t>
      </w:r>
      <w:r>
        <w:t xml:space="preserve">  </w:t>
      </w:r>
      <w:r>
        <w:rPr>
          <w:noProof/>
        </w:rPr>
        <w:drawing>
          <wp:inline distT="0" distB="0" distL="0" distR="0" wp14:anchorId="45B6901E" wp14:editId="07C3B255">
            <wp:extent cx="198495" cy="345003"/>
            <wp:effectExtent l="0" t="0" r="0" b="0"/>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2536" cy="386789"/>
                    </a:xfrm>
                    <a:prstGeom prst="rect">
                      <a:avLst/>
                    </a:prstGeom>
                  </pic:spPr>
                </pic:pic>
              </a:graphicData>
            </a:graphic>
          </wp:inline>
        </w:drawing>
      </w:r>
      <w:r>
        <w:t xml:space="preserve">  </w:t>
      </w:r>
      <w:r w:rsidRPr="001E5E8C">
        <w:t xml:space="preserve">pour </w:t>
      </w:r>
      <w:r>
        <w:t>8</w:t>
      </w:r>
      <w:r w:rsidRPr="001E5E8C">
        <w:t xml:space="preserve">  </w:t>
      </w:r>
      <w:r>
        <w:t>et ainsi de suite.</w:t>
      </w:r>
    </w:p>
    <w:p w:rsidR="00B25EB1" w:rsidRPr="00BA1678" w:rsidRDefault="00B25EB1" w:rsidP="00B25EB1">
      <w:r w:rsidRPr="00BA07F1">
        <w:t xml:space="preserve">D’un autre côté, les marques de pointages ne doivent </w:t>
      </w:r>
      <w:r>
        <w:t xml:space="preserve">pas être utilisées pour compter les ‘IP’ , ‘BF’ ou ‘AB’ dans les statistiques du lanceur. Dans ce cas, les cases ne sont pas assez grandes pour les marques de pointages (car très souvent supérieur à10). Dans ce cas, il est recommandé d’effacés les marques de pointages et d’écrire le nombre à la place. </w:t>
      </w:r>
      <w:r w:rsidRPr="00BA1678">
        <w:t xml:space="preserve">Les cases non applicables doivent être laissées vides. </w:t>
      </w:r>
    </w:p>
    <w:p w:rsidR="00B25EB1" w:rsidRDefault="00B25EB1" w:rsidP="00B25EB1">
      <w:r>
        <w:t>Comme on peut utiliser le nombre de R, H, BB et K en dehors de la feuille de scorage, il est conseillé de remplacer les marques de pointages par des nombres.</w:t>
      </w:r>
    </w:p>
    <w:p w:rsidR="00B25EB1" w:rsidRPr="00847524" w:rsidRDefault="00B25EB1" w:rsidP="00B25EB1">
      <w:r w:rsidRPr="00FD542B">
        <w:t>Il est recommandé de vérifier les marques de pointages avec le nombre de manche total tou</w:t>
      </w:r>
      <w:r>
        <w:t>tes</w:t>
      </w:r>
      <w:r w:rsidRPr="00FD542B">
        <w:t xml:space="preserve"> les trois manches pour vérifier que les marques de pointages sont correctes.</w:t>
      </w:r>
      <w:r>
        <w:t xml:space="preserve"> Ceci permet de finir rapidement les statistiques en fin de match. Il est recommandé aussi de ne pas penser uniquement aux marques de pointages, mais surtout donner la priorité au jeu. Les erreurs sur les marques de pointages sont faciles à récupérer, cependant si vous manquez une action, vous manquez une partie du match</w:t>
      </w:r>
      <w:r w:rsidRPr="00FD542B">
        <w:t xml:space="preserve">. </w:t>
      </w:r>
      <w:bookmarkStart w:id="1" w:name="_GoBack"/>
      <w:bookmarkEnd w:id="1"/>
    </w:p>
    <w:sectPr w:rsidR="00B25EB1" w:rsidRPr="008475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77"/>
    <w:rsid w:val="000D6632"/>
    <w:rsid w:val="001C2877"/>
    <w:rsid w:val="00B25EB1"/>
    <w:rsid w:val="00CC6BC2"/>
    <w:rsid w:val="00E504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D1BC6"/>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1C2877"/>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C2877"/>
    <w:rPr>
      <w:rFonts w:asciiTheme="majorHAnsi" w:eastAsiaTheme="majorEastAsia" w:hAnsiTheme="majorHAnsi" w:cstheme="majorBidi"/>
      <w:color w:val="1F3763"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284</Words>
  <Characters>1567</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3</cp:revision>
  <dcterms:created xsi:type="dcterms:W3CDTF">2018-11-28T12:27:00Z</dcterms:created>
  <dcterms:modified xsi:type="dcterms:W3CDTF">2018-11-28T13:41:00Z</dcterms:modified>
</cp:coreProperties>
</file>