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568" w:rsidRDefault="002F4568" w:rsidP="002B6945">
      <w:pPr>
        <w:pStyle w:val="Titre3"/>
        <w:rPr>
          <w:lang w:val="fr-FR"/>
        </w:rPr>
      </w:pPr>
      <w:bookmarkStart w:id="0" w:name="_Toc531175857"/>
      <w:r>
        <w:rPr>
          <w:lang w:val="fr-FR"/>
        </w:rPr>
        <w:t>L’indifférence, choix défensif pour un retrait sur tentative vol.</w:t>
      </w:r>
      <w:bookmarkEnd w:id="0"/>
    </w:p>
    <w:p w:rsidR="002F4568" w:rsidRDefault="002F4568" w:rsidP="002A5470">
      <w:pPr>
        <w:sectPr w:rsidR="002F4568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845ECB" w:rsidRDefault="00845ECB"/>
    <w:sectPr w:rsidR="00845E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5F"/>
    <w:rsid w:val="002F4568"/>
    <w:rsid w:val="00845ECB"/>
    <w:rsid w:val="00B5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544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544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