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18EF" w:rsidRDefault="004118EF" w:rsidP="002B6945">
      <w:pPr>
        <w:pStyle w:val="Titre2"/>
        <w:rPr>
          <w:lang w:val="fr-FR"/>
        </w:rPr>
      </w:pPr>
      <w:bookmarkStart w:id="0" w:name="_Toc531175855"/>
      <w:r>
        <w:rPr>
          <w:lang w:val="fr-FR"/>
        </w:rPr>
        <w:t>Les choix défensifs.</w:t>
      </w:r>
      <w:bookmarkEnd w:id="0"/>
    </w:p>
    <w:p w:rsidR="004118EF" w:rsidRDefault="004118EF" w:rsidP="002A5470">
      <w:pPr>
        <w:sectPr w:rsidR="004118EF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050C89" w:rsidRDefault="00050C89"/>
    <w:sectPr w:rsidR="00050C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FB"/>
    <w:rsid w:val="00050C89"/>
    <w:rsid w:val="004118EF"/>
    <w:rsid w:val="00CF6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69F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CF69F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