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00A69" w14:textId="77777777" w:rsidR="00F230E1" w:rsidRDefault="001F3FBB">
      <w:pPr>
        <w:jc w:val="center"/>
        <w:rPr>
          <w:rFonts w:cs="Arial"/>
          <w:b/>
          <w:bCs/>
          <w:color w:val="595959" w:themeColor="text1" w:themeTint="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537C5793" wp14:editId="64387CD7">
                <wp:simplePos x="0" y="0"/>
                <wp:positionH relativeFrom="page">
                  <wp:align>left</wp:align>
                </wp:positionH>
                <wp:positionV relativeFrom="paragraph">
                  <wp:posOffset>-37465</wp:posOffset>
                </wp:positionV>
                <wp:extent cx="7555230" cy="375920"/>
                <wp:effectExtent l="0" t="0" r="8255" b="5715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600" cy="375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bdd7ee" stroked="f" style="position:absolute;margin-left:0pt;margin-top:-2.95pt;width:594.8pt;height:29.5pt;mso-position-horizontal:left;mso-position-horizontal-relative:page" wp14:anchorId="048675F3">
                <w10:wrap type="none"/>
                <v:fill o:detectmouseclick="t" type="solid" color2="#422811"/>
                <v:stroke color="#3465a4" weight="12600" joinstyle="miter" endcap="flat"/>
              </v:rect>
            </w:pict>
          </mc:Fallback>
        </mc:AlternateContent>
      </w:r>
      <w:r>
        <w:rPr>
          <w:rFonts w:cs="Arial"/>
          <w:b/>
          <w:bCs/>
          <w:color w:val="595959" w:themeColor="text1" w:themeTint="A6"/>
          <w:sz w:val="32"/>
          <w:szCs w:val="32"/>
        </w:rPr>
        <w:t>LAB REPORT</w:t>
      </w:r>
    </w:p>
    <w:p w14:paraId="12DC611F" w14:textId="77777777" w:rsidR="00F230E1" w:rsidRDefault="00F230E1"/>
    <w:tbl>
      <w:tblPr>
        <w:tblW w:w="9214" w:type="dxa"/>
        <w:tblInd w:w="-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325"/>
        <w:gridCol w:w="6889"/>
      </w:tblGrid>
      <w:tr w:rsidR="00F230E1" w14:paraId="479332D7" w14:textId="77777777"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86A938" w14:textId="77777777" w:rsidR="00F230E1" w:rsidRDefault="001F3FBB">
            <w:pPr>
              <w:pStyle w:val="Standard"/>
              <w:spacing w:before="60" w:after="60"/>
              <w:rPr>
                <w:rFonts w:asciiTheme="minorHAnsi" w:hAnsiTheme="minorHAnsi" w:cstheme="minorHAnsi"/>
                <w:color w:val="5B9BD5" w:themeColor="accent5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Modul</w:t>
            </w:r>
          </w:p>
        </w:tc>
        <w:tc>
          <w:tcPr>
            <w:tcW w:w="6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16A3B5" w14:textId="77777777" w:rsidR="00F230E1" w:rsidRDefault="001F3FBB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22"/>
                <w:szCs w:val="22"/>
              </w:rPr>
              <w:t>Deep Learning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22"/>
                <w:szCs w:val="22"/>
              </w:rPr>
              <w:t>TSM_DeLearn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22"/>
                <w:szCs w:val="22"/>
              </w:rPr>
              <w:t>)</w:t>
            </w:r>
          </w:p>
        </w:tc>
      </w:tr>
      <w:tr w:rsidR="00F230E1" w14:paraId="4A3D54BA" w14:textId="77777777"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124502" w14:textId="77777777" w:rsidR="00F230E1" w:rsidRDefault="001F3FBB">
            <w:pPr>
              <w:pStyle w:val="Standard"/>
              <w:spacing w:before="60" w:after="60"/>
              <w:rPr>
                <w:rFonts w:asciiTheme="minorHAnsi" w:hAnsiTheme="minorHAnsi" w:cstheme="minorHAnsi"/>
                <w:color w:val="5B9BD5" w:themeColor="accent5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Title</w:t>
            </w:r>
          </w:p>
        </w:tc>
        <w:tc>
          <w:tcPr>
            <w:tcW w:w="6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EE54F0" w14:textId="77777777" w:rsidR="00F230E1" w:rsidRDefault="001F3FBB">
            <w:pPr>
              <w:pStyle w:val="Standar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Perceptron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Learning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Algorithm</w:t>
            </w:r>
            <w:proofErr w:type="spellEnd"/>
          </w:p>
        </w:tc>
      </w:tr>
      <w:tr w:rsidR="00F230E1" w14:paraId="0F611BEE" w14:textId="77777777"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E83FBC" w14:textId="77777777" w:rsidR="00F230E1" w:rsidRDefault="001F3FBB">
            <w:pPr>
              <w:pStyle w:val="Standard"/>
              <w:spacing w:before="60" w:after="60"/>
              <w:rPr>
                <w:rFonts w:asciiTheme="minorHAnsi" w:hAnsiTheme="minorHAnsi" w:cstheme="minorHAnsi"/>
                <w:color w:val="5B9BD5" w:themeColor="accent5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Date</w:t>
            </w:r>
          </w:p>
        </w:tc>
        <w:tc>
          <w:tcPr>
            <w:tcW w:w="6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E1D2CF" w14:textId="77777777" w:rsidR="00F230E1" w:rsidRDefault="001F3FBB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02.03.2021</w:t>
            </w:r>
          </w:p>
        </w:tc>
      </w:tr>
      <w:tr w:rsidR="00F230E1" w14:paraId="44AACF31" w14:textId="77777777"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792CF0" w14:textId="77777777" w:rsidR="00F230E1" w:rsidRDefault="001F3FBB">
            <w:pPr>
              <w:pStyle w:val="Standard"/>
              <w:spacing w:before="60" w:after="60"/>
              <w:rPr>
                <w:rFonts w:asciiTheme="minorHAnsi" w:hAnsiTheme="minorHAnsi" w:cstheme="minorHAnsi"/>
                <w:color w:val="5B9BD5" w:themeColor="accent5"/>
              </w:rPr>
            </w:pPr>
            <w:proofErr w:type="spellStart"/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Objective</w:t>
            </w:r>
            <w:proofErr w:type="spellEnd"/>
          </w:p>
        </w:tc>
        <w:tc>
          <w:tcPr>
            <w:tcW w:w="6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BDC4DD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Implement the perceptron learning algorithm.</w:t>
            </w:r>
          </w:p>
          <w:p w14:paraId="15360550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Test the implementation using:</w:t>
            </w:r>
          </w:p>
          <w:p w14:paraId="54769C49" w14:textId="77777777" w:rsidR="00F230E1" w:rsidRDefault="001F3FBB">
            <w:pPr>
              <w:pStyle w:val="Standard"/>
              <w:numPr>
                <w:ilvl w:val="1"/>
                <w:numId w:val="2"/>
              </w:numPr>
              <w:ind w:left="675" w:hanging="284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Dummy dataset which is generated on the fly.</w:t>
            </w:r>
          </w:p>
          <w:p w14:paraId="65568EA2" w14:textId="77777777" w:rsidR="00F230E1" w:rsidRDefault="001F3FBB">
            <w:pPr>
              <w:pStyle w:val="Standard"/>
              <w:numPr>
                <w:ilvl w:val="1"/>
                <w:numId w:val="2"/>
              </w:numPr>
              <w:ind w:left="675" w:hanging="284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Lightweight MNIST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dataset.</w:t>
            </w:r>
          </w:p>
        </w:tc>
      </w:tr>
      <w:tr w:rsidR="00F230E1" w14:paraId="1D47C5DE" w14:textId="77777777"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DB6BAE" w14:textId="77777777" w:rsidR="00F230E1" w:rsidRDefault="001F3FBB">
            <w:pPr>
              <w:pStyle w:val="Standard"/>
              <w:tabs>
                <w:tab w:val="center" w:pos="1116"/>
              </w:tabs>
              <w:spacing w:before="60" w:after="60"/>
              <w:rPr>
                <w:rFonts w:asciiTheme="minorHAnsi" w:hAnsiTheme="minorHAnsi" w:cstheme="minorHAnsi"/>
                <w:color w:val="5B9BD5" w:themeColor="accent5"/>
              </w:rPr>
            </w:pPr>
            <w:proofErr w:type="spellStart"/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Lecturer</w:t>
            </w:r>
            <w:proofErr w:type="spellEnd"/>
          </w:p>
        </w:tc>
        <w:tc>
          <w:tcPr>
            <w:tcW w:w="6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BEED17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Prof.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Dr.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 Jean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Hennebert</w:t>
            </w:r>
            <w:proofErr w:type="spellEnd"/>
          </w:p>
          <w:p w14:paraId="229A875D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Prof.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Dr.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 Martin Melchior</w:t>
            </w:r>
          </w:p>
        </w:tc>
      </w:tr>
      <w:tr w:rsidR="00F230E1" w14:paraId="24C0ED72" w14:textId="77777777"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7E8946" w14:textId="77777777" w:rsidR="00F230E1" w:rsidRDefault="001F3FBB">
            <w:pPr>
              <w:pStyle w:val="Standard"/>
              <w:spacing w:before="60" w:after="60"/>
              <w:rPr>
                <w:rFonts w:asciiTheme="minorHAnsi" w:hAnsiTheme="minorHAnsi" w:cstheme="minorHAnsi"/>
                <w:color w:val="5B9BD5" w:themeColor="accent5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Student</w:t>
            </w:r>
          </w:p>
        </w:tc>
        <w:tc>
          <w:tcPr>
            <w:tcW w:w="6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65220A" w14:textId="77777777" w:rsidR="00F230E1" w:rsidRDefault="001F3FBB">
            <w:pPr>
              <w:pStyle w:val="Standard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Group 11:</w:t>
            </w:r>
          </w:p>
          <w:p w14:paraId="3CD7AAC8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Florian Merz (florian.merz@ost.ch)</w:t>
            </w:r>
          </w:p>
          <w:p w14:paraId="38BF89A2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de-CH"/>
              </w:rPr>
              <w:t>Patrick Koller (patrick.koller@ost.ch)</w:t>
            </w:r>
          </w:p>
          <w:p w14:paraId="270FD090" w14:textId="77777777" w:rsidR="00F230E1" w:rsidRDefault="001F3FBB">
            <w:pPr>
              <w:pStyle w:val="Standard"/>
              <w:numPr>
                <w:ilvl w:val="0"/>
                <w:numId w:val="2"/>
              </w:numPr>
              <w:ind w:left="391"/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Yohanes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Sugiarto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 xml:space="preserve"> (yohanes.sugiarto@ost.ch)</w:t>
            </w:r>
          </w:p>
        </w:tc>
      </w:tr>
    </w:tbl>
    <w:p w14:paraId="1861ECAF" w14:textId="77777777" w:rsidR="00F230E1" w:rsidRDefault="00F230E1"/>
    <w:p w14:paraId="7FC1A6E0" w14:textId="77777777" w:rsidR="00F230E1" w:rsidRDefault="001F3FBB">
      <w:pPr>
        <w:pStyle w:val="TOC1"/>
        <w:tabs>
          <w:tab w:val="left" w:pos="400"/>
          <w:tab w:val="right" w:leader="dot" w:pos="9344"/>
        </w:tabs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Results step 1 – linearly</w:t>
      </w:r>
      <w:r>
        <w:rPr>
          <w:b/>
          <w:bCs/>
          <w:color w:val="2E74B5" w:themeColor="accent5" w:themeShade="BF"/>
          <w:sz w:val="28"/>
          <w:szCs w:val="28"/>
        </w:rPr>
        <w:t xml:space="preserve"> separable dataset:</w:t>
      </w:r>
    </w:p>
    <w:p w14:paraId="432BCD25" w14:textId="77777777" w:rsidR="00F230E1" w:rsidRDefault="001F3FBB">
      <w:pPr>
        <w:pStyle w:val="BodyText"/>
      </w:pPr>
      <w:r>
        <w:t>A linearly separable 2D dataset, consisting of label 0 (blue crosses) and label 1 (red crosses) is created on the fly. The green, dashed line represents the optimal separation line between the two classes with the maximal margin to each</w:t>
      </w:r>
      <w:r>
        <w:t xml:space="preserve"> class. Applying the perceptron-learning-algorithm to this dataset results in the magenta </w:t>
      </w:r>
      <w:proofErr w:type="spellStart"/>
      <w:r>
        <w:t>colored</w:t>
      </w:r>
      <w:proofErr w:type="spellEnd"/>
      <w:r>
        <w:t xml:space="preserve"> line, which separates the classes perfectly, but not optimally in a sense to maximize the margin to both classes.</w:t>
      </w:r>
    </w:p>
    <w:p w14:paraId="0269E255" w14:textId="77777777" w:rsidR="00F230E1" w:rsidRDefault="001F3FBB">
      <w:pPr>
        <w:pStyle w:val="ListParagraph"/>
        <w:tabs>
          <w:tab w:val="left" w:pos="400"/>
          <w:tab w:val="right" w:leader="dot" w:pos="9344"/>
        </w:tabs>
        <w:ind w:left="426" w:hanging="360"/>
      </w:pPr>
      <w:r>
        <w:rPr>
          <w:noProof/>
        </w:rPr>
        <w:drawing>
          <wp:anchor distT="0" distB="0" distL="0" distR="0" simplePos="0" relativeHeight="5" behindDoc="0" locked="0" layoutInCell="1" allowOverlap="1" wp14:anchorId="661A2729" wp14:editId="145D2EAF">
            <wp:simplePos x="0" y="0"/>
            <wp:positionH relativeFrom="column">
              <wp:posOffset>464820</wp:posOffset>
            </wp:positionH>
            <wp:positionV relativeFrom="paragraph">
              <wp:posOffset>17145</wp:posOffset>
            </wp:positionV>
            <wp:extent cx="2267585" cy="155448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5D49A6F" wp14:editId="58356A44">
            <wp:simplePos x="0" y="0"/>
            <wp:positionH relativeFrom="column">
              <wp:posOffset>3134995</wp:posOffset>
            </wp:positionH>
            <wp:positionV relativeFrom="paragraph">
              <wp:posOffset>17145</wp:posOffset>
            </wp:positionV>
            <wp:extent cx="2305050" cy="156400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C7AD8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66A19180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5F57D4F5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4791A5B4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398EB70B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3310F3DE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2C686171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3B6F0511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2D222EED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136EF418" w14:textId="77777777" w:rsidR="00F230E1" w:rsidRDefault="00F230E1">
      <w:pPr>
        <w:pStyle w:val="ListParagraph"/>
        <w:tabs>
          <w:tab w:val="left" w:pos="400"/>
          <w:tab w:val="right" w:leader="dot" w:pos="9344"/>
        </w:tabs>
        <w:ind w:left="426" w:hanging="360"/>
      </w:pPr>
    </w:p>
    <w:p w14:paraId="229706D3" w14:textId="77777777" w:rsidR="00F230E1" w:rsidRDefault="001F3FBB">
      <w:pPr>
        <w:pStyle w:val="ListParagraph"/>
        <w:numPr>
          <w:ilvl w:val="0"/>
          <w:numId w:val="3"/>
        </w:numPr>
        <w:ind w:left="426"/>
      </w:pPr>
      <w:r>
        <w:t>Linearly separable</w:t>
      </w:r>
      <w:r>
        <w:t xml:space="preserve"> dataset</w:t>
      </w:r>
    </w:p>
    <w:p w14:paraId="16ED98C8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>Opti</w:t>
      </w:r>
      <w:r>
        <w:t>mal</w:t>
      </w:r>
      <w:r>
        <w:t xml:space="preserve"> parameters (Green dashed line) are w1 = -2.0, w2 = 1.0, and bias = -1</w:t>
      </w:r>
    </w:p>
    <w:p w14:paraId="340AF91D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 xml:space="preserve">Training converged </w:t>
      </w:r>
      <w:r>
        <w:t>in</w:t>
      </w:r>
      <w:r>
        <w:t xml:space="preserve"> 29 iterations</w:t>
      </w:r>
    </w:p>
    <w:p w14:paraId="240399D0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>Resulting parameters are w1 = -4.990, w2 = 2.929 and bias = -3</w:t>
      </w:r>
    </w:p>
    <w:p w14:paraId="393096F5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 xml:space="preserve">The  </w:t>
      </w:r>
      <w:r>
        <w:t>perceptron-learning-algorithm separates the dataset nicely into the two desire</w:t>
      </w:r>
      <w:r>
        <w:t>d classes</w:t>
      </w:r>
    </w:p>
    <w:p w14:paraId="181BF90B" w14:textId="77777777" w:rsidR="00F230E1" w:rsidRDefault="00F230E1">
      <w:pPr>
        <w:pStyle w:val="ListParagraph"/>
      </w:pPr>
    </w:p>
    <w:p w14:paraId="042DCBC7" w14:textId="77777777" w:rsidR="00F230E1" w:rsidRDefault="00F230E1">
      <w:pPr>
        <w:pStyle w:val="ListParagraph"/>
      </w:pPr>
    </w:p>
    <w:p w14:paraId="6BEF4E48" w14:textId="77777777" w:rsidR="00F230E1" w:rsidRDefault="00F230E1">
      <w:pPr>
        <w:pStyle w:val="ListParagraph"/>
      </w:pPr>
    </w:p>
    <w:p w14:paraId="569B1AD0" w14:textId="77777777" w:rsidR="00F230E1" w:rsidRDefault="00F230E1">
      <w:pPr>
        <w:pStyle w:val="ListParagraph"/>
      </w:pPr>
    </w:p>
    <w:p w14:paraId="176084BE" w14:textId="77777777" w:rsidR="00F230E1" w:rsidRDefault="00F230E1">
      <w:pPr>
        <w:pStyle w:val="ListParagraph"/>
      </w:pPr>
    </w:p>
    <w:p w14:paraId="6CD12511" w14:textId="77777777" w:rsidR="00F230E1" w:rsidRDefault="00F230E1">
      <w:pPr>
        <w:pStyle w:val="ListParagraph"/>
      </w:pPr>
    </w:p>
    <w:p w14:paraId="2E87F849" w14:textId="77777777" w:rsidR="00F230E1" w:rsidRDefault="00F230E1">
      <w:pPr>
        <w:pStyle w:val="ListParagraph"/>
      </w:pPr>
    </w:p>
    <w:p w14:paraId="314CCCC8" w14:textId="77777777" w:rsidR="00F230E1" w:rsidRDefault="00F230E1">
      <w:pPr>
        <w:pStyle w:val="ListParagraph"/>
      </w:pPr>
    </w:p>
    <w:p w14:paraId="6A58DA56" w14:textId="77777777" w:rsidR="00F230E1" w:rsidRDefault="00F230E1">
      <w:pPr>
        <w:pStyle w:val="ListParagraph"/>
      </w:pPr>
    </w:p>
    <w:p w14:paraId="6DBD1298" w14:textId="77777777" w:rsidR="00F230E1" w:rsidRDefault="00F230E1">
      <w:pPr>
        <w:pStyle w:val="ListParagraph"/>
      </w:pPr>
    </w:p>
    <w:p w14:paraId="097F4D01" w14:textId="77777777" w:rsidR="00F230E1" w:rsidRDefault="00F230E1">
      <w:pPr>
        <w:pStyle w:val="ListParagraph"/>
      </w:pPr>
    </w:p>
    <w:p w14:paraId="73B9D589" w14:textId="77777777" w:rsidR="00F230E1" w:rsidRDefault="00F230E1">
      <w:pPr>
        <w:pStyle w:val="ListParagraph"/>
      </w:pPr>
    </w:p>
    <w:p w14:paraId="3B41CF1F" w14:textId="77777777" w:rsidR="00F230E1" w:rsidRDefault="00F230E1">
      <w:pPr>
        <w:pStyle w:val="ListParagraph"/>
      </w:pPr>
    </w:p>
    <w:p w14:paraId="66B3B6E5" w14:textId="77777777" w:rsidR="00F230E1" w:rsidRDefault="001F3FBB">
      <w:pPr>
        <w:pStyle w:val="TOC1"/>
        <w:tabs>
          <w:tab w:val="left" w:pos="400"/>
          <w:tab w:val="right" w:leader="dot" w:pos="9344"/>
        </w:tabs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Results step 1 – non-linear separable dataset: (Optional)</w:t>
      </w:r>
    </w:p>
    <w:p w14:paraId="177C58D8" w14:textId="77777777" w:rsidR="00F230E1" w:rsidRDefault="001F3FBB">
      <w:pPr>
        <w:pStyle w:val="BodyText"/>
      </w:pPr>
      <w:r>
        <w:t xml:space="preserve">A quadratic separable 2D dataset, consisting of label </w:t>
      </w:r>
      <w:r>
        <w:t xml:space="preserve">0 (blue crosses) and label 1 (red crosses) is created on the fly. Applying the perceptron-learning-algorithm to this quadratic dataset results in the linear magenta </w:t>
      </w:r>
      <w:proofErr w:type="spellStart"/>
      <w:r>
        <w:t>colored</w:t>
      </w:r>
      <w:proofErr w:type="spellEnd"/>
      <w:r>
        <w:t xml:space="preserve"> line, which fails to separate the dataset in a meaningful way.</w:t>
      </w:r>
    </w:p>
    <w:p w14:paraId="18690E4B" w14:textId="77777777" w:rsidR="00F230E1" w:rsidRDefault="001F3FBB">
      <w:pPr>
        <w:pStyle w:val="ListParagraph"/>
      </w:pPr>
      <w:r>
        <w:rPr>
          <w:noProof/>
        </w:rPr>
        <w:drawing>
          <wp:anchor distT="0" distB="0" distL="0" distR="0" simplePos="0" relativeHeight="7" behindDoc="0" locked="0" layoutInCell="1" allowOverlap="1" wp14:anchorId="143A99A8" wp14:editId="27258B8A">
            <wp:simplePos x="0" y="0"/>
            <wp:positionH relativeFrom="column">
              <wp:posOffset>464820</wp:posOffset>
            </wp:positionH>
            <wp:positionV relativeFrom="paragraph">
              <wp:posOffset>17145</wp:posOffset>
            </wp:positionV>
            <wp:extent cx="2267585" cy="155448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66E7E0" wp14:editId="14DA65CD">
            <wp:simplePos x="0" y="0"/>
            <wp:positionH relativeFrom="column">
              <wp:posOffset>3134995</wp:posOffset>
            </wp:positionH>
            <wp:positionV relativeFrom="paragraph">
              <wp:posOffset>17145</wp:posOffset>
            </wp:positionV>
            <wp:extent cx="2305050" cy="156400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61317" w14:textId="77777777" w:rsidR="00F230E1" w:rsidRDefault="00F230E1">
      <w:pPr>
        <w:pStyle w:val="ListParagraph"/>
      </w:pPr>
    </w:p>
    <w:p w14:paraId="2E27038B" w14:textId="77777777" w:rsidR="00F230E1" w:rsidRDefault="00F230E1">
      <w:pPr>
        <w:pStyle w:val="ListParagraph"/>
      </w:pPr>
    </w:p>
    <w:p w14:paraId="29BFA917" w14:textId="77777777" w:rsidR="00F230E1" w:rsidRDefault="00F230E1">
      <w:pPr>
        <w:pStyle w:val="ListParagraph"/>
      </w:pPr>
    </w:p>
    <w:p w14:paraId="38C696AC" w14:textId="77777777" w:rsidR="00F230E1" w:rsidRDefault="00F230E1">
      <w:pPr>
        <w:pStyle w:val="ListParagraph"/>
      </w:pPr>
    </w:p>
    <w:p w14:paraId="358F0A9E" w14:textId="77777777" w:rsidR="00F230E1" w:rsidRDefault="00F230E1">
      <w:pPr>
        <w:pStyle w:val="ListParagraph"/>
      </w:pPr>
    </w:p>
    <w:p w14:paraId="4B9729D6" w14:textId="77777777" w:rsidR="00F230E1" w:rsidRDefault="00F230E1">
      <w:pPr>
        <w:pStyle w:val="ListParagraph"/>
      </w:pPr>
    </w:p>
    <w:p w14:paraId="012CD9CD" w14:textId="77777777" w:rsidR="00F230E1" w:rsidRDefault="00F230E1">
      <w:pPr>
        <w:pStyle w:val="ListParagraph"/>
      </w:pPr>
    </w:p>
    <w:p w14:paraId="30AC45E5" w14:textId="77777777" w:rsidR="00F230E1" w:rsidRDefault="00F230E1">
      <w:pPr>
        <w:pStyle w:val="ListParagraph"/>
      </w:pPr>
    </w:p>
    <w:p w14:paraId="5C02336A" w14:textId="77777777" w:rsidR="00F230E1" w:rsidRDefault="00F230E1">
      <w:pPr>
        <w:pStyle w:val="ListParagraph"/>
      </w:pPr>
    </w:p>
    <w:p w14:paraId="5B7B4AF3" w14:textId="77777777" w:rsidR="00F230E1" w:rsidRDefault="00F230E1">
      <w:pPr>
        <w:pStyle w:val="ListParagraph"/>
      </w:pPr>
    </w:p>
    <w:p w14:paraId="23F741EB" w14:textId="77777777" w:rsidR="00F230E1" w:rsidRDefault="001F3FBB">
      <w:pPr>
        <w:pStyle w:val="ListParagraph"/>
        <w:numPr>
          <w:ilvl w:val="0"/>
          <w:numId w:val="3"/>
        </w:numPr>
        <w:ind w:left="426"/>
      </w:pPr>
      <w:r>
        <w:t>Quadrat</w:t>
      </w:r>
      <w:r>
        <w:t>ic separable</w:t>
      </w:r>
      <w:r>
        <w:t xml:space="preserve"> dataset</w:t>
      </w:r>
    </w:p>
    <w:p w14:paraId="5FA88E97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>The</w:t>
      </w:r>
      <w:r>
        <w:t xml:space="preserve"> perceptron-learning-algorithm fails to separate the dataset as desired</w:t>
      </w:r>
    </w:p>
    <w:p w14:paraId="607315DD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>Optimal solution would need to be a quadratic function</w:t>
      </w:r>
    </w:p>
    <w:p w14:paraId="3A1AA56A" w14:textId="77777777" w:rsidR="00F230E1" w:rsidRDefault="00F230E1">
      <w:pPr>
        <w:pStyle w:val="ListParagraph"/>
      </w:pPr>
    </w:p>
    <w:p w14:paraId="2B489D17" w14:textId="3B9332FB" w:rsidR="00F230E1" w:rsidRDefault="00F230E1">
      <w:pPr>
        <w:pStyle w:val="ListParagraph"/>
      </w:pPr>
    </w:p>
    <w:p w14:paraId="1917ADB0" w14:textId="77777777" w:rsidR="003B2A4A" w:rsidRDefault="003B2A4A">
      <w:pPr>
        <w:pStyle w:val="ListParagraph"/>
      </w:pPr>
    </w:p>
    <w:p w14:paraId="1BBF3D12" w14:textId="77777777" w:rsidR="00F230E1" w:rsidRDefault="001F3FBB">
      <w:pPr>
        <w:pStyle w:val="TOC1"/>
        <w:tabs>
          <w:tab w:val="left" w:pos="400"/>
          <w:tab w:val="right" w:leader="dot" w:pos="9344"/>
        </w:tabs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Results step 2 – MNIST dataset:</w:t>
      </w:r>
    </w:p>
    <w:p w14:paraId="12969A7B" w14:textId="77777777" w:rsidR="00F230E1" w:rsidRDefault="001F3FBB">
      <w:pPr>
        <w:pStyle w:val="ListParagraph"/>
      </w:pPr>
      <w:r>
        <w:t xml:space="preserve">The lightweight MNIST dataset (which consists of 8×8-pixel images of </w:t>
      </w:r>
      <w:r>
        <w:t xml:space="preserve">handwritten digits) is widely used for  training and testing in the field of machine learning and deep learning. Applying the </w:t>
      </w:r>
      <w:r>
        <w:t>perceptron-learning-algorithm to differentiate between the numbers 0 and 1 converges after only 11 iterations and gives perfect re</w:t>
      </w:r>
      <w:r>
        <w:t xml:space="preserve">sults in terms of </w:t>
      </w:r>
      <w:proofErr w:type="spellStart"/>
      <w:r>
        <w:t>accuraccy</w:t>
      </w:r>
      <w:proofErr w:type="spellEnd"/>
      <w:r>
        <w:t>.</w:t>
      </w:r>
    </w:p>
    <w:p w14:paraId="36B12A57" w14:textId="77777777" w:rsidR="00F230E1" w:rsidRDefault="00F230E1">
      <w:pPr>
        <w:pStyle w:val="ListParagraph"/>
      </w:pPr>
    </w:p>
    <w:p w14:paraId="45B21449" w14:textId="77777777" w:rsidR="00F230E1" w:rsidRDefault="001F3FBB">
      <w:pPr>
        <w:pStyle w:val="ListParagraph"/>
      </w:pPr>
      <w:r>
        <w:rPr>
          <w:noProof/>
        </w:rPr>
        <w:drawing>
          <wp:anchor distT="0" distB="0" distL="0" distR="0" simplePos="0" relativeHeight="9" behindDoc="0" locked="0" layoutInCell="1" allowOverlap="1" wp14:anchorId="198032C1" wp14:editId="6627E250">
            <wp:simplePos x="0" y="0"/>
            <wp:positionH relativeFrom="column">
              <wp:posOffset>464820</wp:posOffset>
            </wp:positionH>
            <wp:positionV relativeFrom="paragraph">
              <wp:posOffset>139700</wp:posOffset>
            </wp:positionV>
            <wp:extent cx="2267585" cy="155448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3220CDA" wp14:editId="6C53CF59">
            <wp:simplePos x="0" y="0"/>
            <wp:positionH relativeFrom="column">
              <wp:posOffset>3258820</wp:posOffset>
            </wp:positionH>
            <wp:positionV relativeFrom="paragraph">
              <wp:posOffset>130175</wp:posOffset>
            </wp:positionV>
            <wp:extent cx="2305050" cy="156400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115B3" w14:textId="77777777" w:rsidR="00F230E1" w:rsidRDefault="00F230E1">
      <w:pPr>
        <w:pStyle w:val="ListParagraph"/>
      </w:pPr>
    </w:p>
    <w:p w14:paraId="196A646C" w14:textId="77777777" w:rsidR="00F230E1" w:rsidRDefault="00F230E1">
      <w:pPr>
        <w:pStyle w:val="ListParagraph"/>
      </w:pPr>
    </w:p>
    <w:p w14:paraId="219B4865" w14:textId="77777777" w:rsidR="00F230E1" w:rsidRDefault="00F230E1">
      <w:pPr>
        <w:pStyle w:val="ListParagraph"/>
      </w:pPr>
    </w:p>
    <w:p w14:paraId="5D351744" w14:textId="77777777" w:rsidR="00F230E1" w:rsidRDefault="00F230E1">
      <w:pPr>
        <w:pStyle w:val="ListParagraph"/>
      </w:pPr>
    </w:p>
    <w:p w14:paraId="58CA7DF8" w14:textId="77777777" w:rsidR="00F230E1" w:rsidRDefault="00F230E1">
      <w:pPr>
        <w:pStyle w:val="ListParagraph"/>
      </w:pPr>
    </w:p>
    <w:p w14:paraId="6B4F6D01" w14:textId="77777777" w:rsidR="00F230E1" w:rsidRDefault="00F230E1">
      <w:pPr>
        <w:pStyle w:val="ListParagraph"/>
      </w:pPr>
    </w:p>
    <w:p w14:paraId="6115BE5D" w14:textId="77777777" w:rsidR="00F230E1" w:rsidRDefault="00F230E1">
      <w:pPr>
        <w:pStyle w:val="ListParagraph"/>
      </w:pPr>
    </w:p>
    <w:p w14:paraId="1A34F17F" w14:textId="77777777" w:rsidR="00F230E1" w:rsidRDefault="00F230E1">
      <w:pPr>
        <w:pStyle w:val="ListParagraph"/>
      </w:pPr>
    </w:p>
    <w:p w14:paraId="7C214457" w14:textId="77777777" w:rsidR="00F230E1" w:rsidRDefault="00F230E1">
      <w:pPr>
        <w:pStyle w:val="ListParagraph"/>
      </w:pPr>
    </w:p>
    <w:p w14:paraId="2347A815" w14:textId="77777777" w:rsidR="00F230E1" w:rsidRDefault="00F230E1">
      <w:pPr>
        <w:pStyle w:val="ListParagraph"/>
      </w:pPr>
    </w:p>
    <w:p w14:paraId="0F07E574" w14:textId="77777777" w:rsidR="00F230E1" w:rsidRDefault="00F230E1">
      <w:pPr>
        <w:pStyle w:val="ListParagraph"/>
      </w:pPr>
    </w:p>
    <w:p w14:paraId="3CFA52FB" w14:textId="77777777" w:rsidR="00F230E1" w:rsidRDefault="001F3FBB">
      <w:pPr>
        <w:pStyle w:val="ListParagraph"/>
        <w:numPr>
          <w:ilvl w:val="0"/>
          <w:numId w:val="3"/>
        </w:numPr>
        <w:ind w:left="426"/>
      </w:pPr>
      <w:r>
        <w:t>MNIST</w:t>
      </w:r>
      <w:r>
        <w:t xml:space="preserve"> dataset</w:t>
      </w:r>
    </w:p>
    <w:p w14:paraId="6A4E37BB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>The</w:t>
      </w:r>
      <w:r>
        <w:t xml:space="preserve"> perceptron-learning-algorithm </w:t>
      </w:r>
      <w:r>
        <w:t>is able to create a nice decision boundary to separate the numbers 0 and 1 successfully</w:t>
      </w:r>
    </w:p>
    <w:p w14:paraId="55BCE4E3" w14:textId="77777777" w:rsidR="00F230E1" w:rsidRDefault="001F3FBB">
      <w:pPr>
        <w:pStyle w:val="ListParagraph"/>
        <w:numPr>
          <w:ilvl w:val="1"/>
          <w:numId w:val="3"/>
        </w:numPr>
        <w:ind w:left="851"/>
      </w:pPr>
      <w:r>
        <w:t>Comparing all other pairs of numbers is much more difficult. Our implementat</w:t>
      </w:r>
      <w:r>
        <w:t>ion is not able to differentiate clearly better than random between all other pairs of numbers.</w:t>
      </w:r>
    </w:p>
    <w:p w14:paraId="4AA5BE24" w14:textId="77777777" w:rsidR="00F230E1" w:rsidRDefault="00F230E1">
      <w:pPr>
        <w:pStyle w:val="ListParagraph"/>
      </w:pPr>
    </w:p>
    <w:sectPr w:rsidR="00F230E1">
      <w:headerReference w:type="default" r:id="rId17"/>
      <w:footerReference w:type="default" r:id="rId18"/>
      <w:pgSz w:w="11906" w:h="16838"/>
      <w:pgMar w:top="1276" w:right="1134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AA651" w14:textId="77777777" w:rsidR="001F3FBB" w:rsidRDefault="001F3FBB">
      <w:pPr>
        <w:spacing w:before="0" w:line="240" w:lineRule="auto"/>
      </w:pPr>
      <w:r>
        <w:separator/>
      </w:r>
    </w:p>
  </w:endnote>
  <w:endnote w:type="continuationSeparator" w:id="0">
    <w:p w14:paraId="7E96257E" w14:textId="77777777" w:rsidR="001F3FBB" w:rsidRDefault="001F3FB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B809E" w14:textId="77777777" w:rsidR="00F230E1" w:rsidRDefault="001F3FBB">
    <w:pPr>
      <w:pStyle w:val="Footer"/>
      <w:tabs>
        <w:tab w:val="clear" w:pos="9026"/>
        <w:tab w:val="right" w:pos="9475"/>
      </w:tabs>
      <w:rPr>
        <w:rFonts w:cs="Arial"/>
        <w:sz w:val="18"/>
        <w:szCs w:val="18"/>
      </w:rPr>
    </w:pPr>
    <w:proofErr w:type="spellStart"/>
    <w:r>
      <w:rPr>
        <w:color w:val="767171" w:themeColor="background2" w:themeShade="80"/>
        <w:sz w:val="18"/>
        <w:szCs w:val="20"/>
      </w:rPr>
      <w:t>TSM_DeLearn</w:t>
    </w:r>
    <w:proofErr w:type="spellEnd"/>
    <w:r>
      <w:rPr>
        <w:color w:val="767171" w:themeColor="background2" w:themeShade="80"/>
        <w:sz w:val="18"/>
        <w:szCs w:val="20"/>
      </w:rPr>
      <w:t>: Group 11</w:t>
    </w:r>
    <w:r>
      <w:tab/>
    </w:r>
    <w:r>
      <w:tab/>
    </w:r>
    <w:r>
      <w:rPr>
        <w:rFonts w:cs="Arial"/>
        <w:sz w:val="18"/>
        <w:szCs w:val="18"/>
      </w:rPr>
      <w:t xml:space="preserve">Page </w:t>
    </w:r>
    <w:r>
      <w:rPr>
        <w:rFonts w:cs="Arial"/>
        <w:b/>
        <w:bCs/>
        <w:sz w:val="18"/>
        <w:szCs w:val="18"/>
      </w:rPr>
      <w:fldChar w:fldCharType="begin"/>
    </w:r>
    <w:r>
      <w:rPr>
        <w:rFonts w:cs="Arial"/>
        <w:b/>
        <w:bCs/>
        <w:sz w:val="18"/>
        <w:szCs w:val="18"/>
      </w:rPr>
      <w:instrText>PAGE \* ARABIC</w:instrText>
    </w:r>
    <w:r>
      <w:rPr>
        <w:rFonts w:cs="Arial"/>
        <w:b/>
        <w:bCs/>
        <w:sz w:val="18"/>
        <w:szCs w:val="18"/>
      </w:rPr>
      <w:fldChar w:fldCharType="separate"/>
    </w:r>
    <w:r>
      <w:rPr>
        <w:rFonts w:cs="Arial"/>
        <w:b/>
        <w:bCs/>
        <w:sz w:val="18"/>
        <w:szCs w:val="18"/>
      </w:rPr>
      <w:t>1</w:t>
    </w:r>
    <w:r>
      <w:rPr>
        <w:rFonts w:cs="Arial"/>
        <w:b/>
        <w:bCs/>
        <w:sz w:val="18"/>
        <w:szCs w:val="18"/>
      </w:rPr>
      <w:fldChar w:fldCharType="end"/>
    </w:r>
    <w:r>
      <w:rPr>
        <w:rFonts w:cs="Arial"/>
        <w:sz w:val="18"/>
        <w:szCs w:val="18"/>
      </w:rPr>
      <w:t xml:space="preserve"> of </w:t>
    </w:r>
    <w:r>
      <w:rPr>
        <w:rFonts w:cs="Arial"/>
        <w:b/>
        <w:bCs/>
        <w:sz w:val="18"/>
        <w:szCs w:val="18"/>
      </w:rPr>
      <w:fldChar w:fldCharType="begin"/>
    </w:r>
    <w:r>
      <w:rPr>
        <w:rFonts w:cs="Arial"/>
        <w:b/>
        <w:bCs/>
        <w:sz w:val="18"/>
        <w:szCs w:val="18"/>
      </w:rPr>
      <w:instrText>NUMPAGES \* ARABIC</w:instrText>
    </w:r>
    <w:r>
      <w:rPr>
        <w:rFonts w:cs="Arial"/>
        <w:b/>
        <w:bCs/>
        <w:sz w:val="18"/>
        <w:szCs w:val="18"/>
      </w:rPr>
      <w:fldChar w:fldCharType="separate"/>
    </w:r>
    <w:r>
      <w:rPr>
        <w:rFonts w:cs="Arial"/>
        <w:b/>
        <w:bCs/>
        <w:sz w:val="18"/>
        <w:szCs w:val="18"/>
      </w:rPr>
      <w:t>2</w:t>
    </w:r>
    <w:r>
      <w:rPr>
        <w:rFonts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F600" w14:textId="77777777" w:rsidR="001F3FBB" w:rsidRDefault="001F3FBB">
      <w:pPr>
        <w:spacing w:before="0" w:line="240" w:lineRule="auto"/>
      </w:pPr>
      <w:r>
        <w:separator/>
      </w:r>
    </w:p>
  </w:footnote>
  <w:footnote w:type="continuationSeparator" w:id="0">
    <w:p w14:paraId="4593B1D7" w14:textId="77777777" w:rsidR="001F3FBB" w:rsidRDefault="001F3FB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67CB" w14:textId="77777777" w:rsidR="00F230E1" w:rsidRDefault="001F3FBB">
    <w:pPr>
      <w:pStyle w:val="Header"/>
    </w:pPr>
    <w:r>
      <w:rPr>
        <w:noProof/>
      </w:rPr>
      <w:drawing>
        <wp:anchor distT="0" distB="0" distL="0" distR="0" simplePos="0" relativeHeight="4" behindDoc="1" locked="0" layoutInCell="1" allowOverlap="1" wp14:anchorId="5A2804C1" wp14:editId="4C4B42F1">
          <wp:simplePos x="0" y="0"/>
          <wp:positionH relativeFrom="page">
            <wp:align>right</wp:align>
          </wp:positionH>
          <wp:positionV relativeFrom="paragraph">
            <wp:posOffset>-487045</wp:posOffset>
          </wp:positionV>
          <wp:extent cx="4507865" cy="1017905"/>
          <wp:effectExtent l="0" t="0" r="0" b="0"/>
          <wp:wrapNone/>
          <wp:docPr id="8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07865" cy="1017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D2890"/>
    <w:multiLevelType w:val="multilevel"/>
    <w:tmpl w:val="D31446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895B21"/>
    <w:multiLevelType w:val="multilevel"/>
    <w:tmpl w:val="9CDC49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2014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F8662D"/>
    <w:multiLevelType w:val="multilevel"/>
    <w:tmpl w:val="23F0FEF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3977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E1"/>
    <w:rsid w:val="001F3FBB"/>
    <w:rsid w:val="003B2A4A"/>
    <w:rsid w:val="00E7494B"/>
    <w:rsid w:val="00F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BD454"/>
  <w15:docId w15:val="{A8D1C6DC-154B-43CC-A7AF-E36C3F78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CB"/>
    <w:pPr>
      <w:spacing w:before="80"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AA2"/>
    <w:pPr>
      <w:keepNext/>
      <w:keepLines/>
      <w:numPr>
        <w:numId w:val="1"/>
      </w:numPr>
      <w:spacing w:before="160"/>
      <w:ind w:left="340" w:hanging="3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6C8"/>
    <w:pPr>
      <w:keepNext/>
      <w:keepLines/>
      <w:numPr>
        <w:ilvl w:val="1"/>
        <w:numId w:val="1"/>
      </w:numPr>
      <w:spacing w:before="160"/>
      <w:ind w:left="567" w:hanging="567"/>
      <w:outlineLvl w:val="1"/>
    </w:pPr>
    <w:rPr>
      <w:rFonts w:eastAsiaTheme="majorEastAsia" w:cstheme="majorBidi"/>
      <w:b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6C8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AA2"/>
    <w:pPr>
      <w:keepNext/>
      <w:keepLines/>
      <w:numPr>
        <w:ilvl w:val="3"/>
        <w:numId w:val="1"/>
      </w:numPr>
      <w:ind w:left="794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A7D9C"/>
  </w:style>
  <w:style w:type="character" w:customStyle="1" w:styleId="FooterChar">
    <w:name w:val="Footer Char"/>
    <w:basedOn w:val="DefaultParagraphFont"/>
    <w:link w:val="Footer"/>
    <w:uiPriority w:val="99"/>
    <w:qFormat/>
    <w:rsid w:val="000A7D9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7D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6AA2"/>
    <w:rPr>
      <w:rFonts w:ascii="Arial" w:eastAsiaTheme="majorEastAsia" w:hAnsi="Arial" w:cstheme="majorBidi"/>
      <w:b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26C8"/>
    <w:rPr>
      <w:rFonts w:ascii="Arial" w:eastAsiaTheme="majorEastAsia" w:hAnsi="Arial" w:cstheme="majorBidi"/>
      <w:b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26C8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D6AA2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93A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93A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3A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3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3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659C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qFormat/>
    <w:rsid w:val="000A7AA8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2D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2DBC"/>
    <w:rPr>
      <w:sz w:val="20"/>
      <w:szCs w:val="20"/>
      <w:lang w:val="fr-CH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61CA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D26C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A7D9C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7D9C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7D9C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026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659C"/>
    <w:pPr>
      <w:numPr>
        <w:numId w:val="0"/>
      </w:numPr>
      <w:spacing w:before="240" w:line="259" w:lineRule="auto"/>
      <w:ind w:left="340" w:hanging="340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659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E659C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qFormat/>
    <w:rsid w:val="0057464E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2DBC"/>
    <w:pPr>
      <w:spacing w:before="0" w:after="160" w:line="240" w:lineRule="auto"/>
      <w:jc w:val="left"/>
    </w:pPr>
    <w:rPr>
      <w:rFonts w:asciiTheme="minorHAnsi" w:hAnsiTheme="minorHAnsi"/>
      <w:szCs w:val="20"/>
      <w:lang w:val="fr-CH"/>
    </w:rPr>
  </w:style>
  <w:style w:type="paragraph" w:styleId="NoSpacing">
    <w:name w:val="No Spacing"/>
    <w:uiPriority w:val="1"/>
    <w:qFormat/>
    <w:rsid w:val="00B460B9"/>
    <w:pPr>
      <w:jc w:val="both"/>
    </w:pPr>
    <w:rPr>
      <w:rFonts w:ascii="Arial" w:hAnsi="Arial"/>
    </w:rPr>
  </w:style>
  <w:style w:type="paragraph" w:customStyle="1" w:styleId="Standard">
    <w:name w:val="Standard"/>
    <w:qFormat/>
    <w:rsid w:val="00027042"/>
    <w:pPr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val="de-DE" w:eastAsia="de-DE"/>
    </w:rPr>
  </w:style>
  <w:style w:type="table" w:styleId="TableGrid">
    <w:name w:val="Table Grid"/>
    <w:basedOn w:val="TableNormal"/>
    <w:uiPriority w:val="39"/>
    <w:rsid w:val="00933549"/>
    <w:pPr>
      <w:spacing w:line="244" w:lineRule="atLeast"/>
    </w:pPr>
    <w:rPr>
      <w:sz w:val="19"/>
      <w:szCs w:val="20"/>
      <w:lang w:val="de-CH"/>
    </w:rPr>
    <w:tblPr>
      <w:tblCellMar>
        <w:left w:w="0" w:type="dxa"/>
        <w:right w:w="0" w:type="dxa"/>
      </w:tblCellMar>
    </w:tblPr>
  </w:style>
  <w:style w:type="table" w:styleId="ListTable2-Accent5">
    <w:name w:val="List Table 2 Accent 5"/>
    <w:basedOn w:val="TableNormal"/>
    <w:uiPriority w:val="47"/>
    <w:rsid w:val="00AD4E6D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20120</b:Tag>
    <b:SourceType>InternetSite</b:SourceType>
    <b:Guid>{CFC21A01-FBD9-4F91-BB73-8265482B5797}</b:Guid>
    <b:Title>2010 Population Census - Indonesia</b:Title>
    <b:ProductionCompany>Badan Pusat Statistik (BPS-Statistics) Indonesia</b:ProductionCompany>
    <b:YearAccessed>2020</b:YearAccessed>
    <b:MonthAccessed>May</b:MonthAccessed>
    <b:DayAccessed>9</b:DayAccessed>
    <b:URL>https://sp2010.bps.go.id</b:URL>
    <b:RefOrder>3</b:RefOrder>
  </b:Source>
  <b:Source>
    <b:Tag>Ser19</b:Tag>
    <b:SourceType>JournalArticle</b:SourceType>
    <b:Guid>{B2F17435-513C-43DE-86A0-BAF5E42EE766}</b:Guid>
    <b:Title>Indonesian food culture mapping: a starter contribution to promote Indonesian culinary tourism</b:Title>
    <b:Year>2019</b:Year>
    <b:Author>
      <b:Author>
        <b:NameList>
          <b:Person>
            <b:Last>Wijaya</b:Last>
            <b:First>Serli</b:First>
          </b:Person>
        </b:NameList>
      </b:Author>
    </b:Author>
    <b:JournalName>Journal of Ethnic Foods</b:JournalName>
    <b:Volume>6</b:Volume>
    <b:Issue>10.1186/s42779-019-0009-3</b:Issue>
    <b:RefOrder>15</b:RefOrder>
  </b:Source>
  <b:Source>
    <b:Tag>Bad20</b:Tag>
    <b:SourceType>InternetSite</b:SourceType>
    <b:Guid>{30693065-4FF3-45C1-8B48-38F54FBD5929}</b:Guid>
    <b:Title>Badan Bahasa</b:Title>
    <b:YearAccessed>2020</b:YearAccessed>
    <b:MonthAccessed>May</b:MonthAccessed>
    <b:DayAccessed>9</b:DayAccessed>
    <b:URL>https://dapobas.kemdikbud.go.id</b:URL>
    <b:ProductionCompany>Kementerian Pendidikan dan Kebudayaan Indonesia</b:ProductionCompany>
    <b:RefOrder>7</b:RefOrder>
  </b:Source>
  <b:Source>
    <b:Tag>Cul20</b:Tag>
    <b:SourceType>InternetSite</b:SourceType>
    <b:Guid>{C0C28BB4-0910-45DD-9879-B146BE767887}</b:Guid>
    <b:Title>Culture of Indonesia</b:Title>
    <b:YearAccessed>2020</b:YearAccessed>
    <b:MonthAccessed>May</b:MonthAccessed>
    <b:DayAccessed>9</b:DayAccessed>
    <b:URL>https://en.wikipedia.org/wiki/Culture_of_Indonesia</b:URL>
    <b:ProductionCompany>Wikipedia</b:ProductionCompany>
    <b:RefOrder>13</b:RefOrder>
  </b:Source>
  <b:Source>
    <b:Tag>Dem20</b:Tag>
    <b:SourceType>InternetSite</b:SourceType>
    <b:Guid>{77D0728B-EAC5-4B2A-8E4B-666B61D0EE5E}</b:Guid>
    <b:Title>Demographics of Indonesia</b:Title>
    <b:YearAccessed>2020</b:YearAccessed>
    <b:MonthAccessed>May</b:MonthAccessed>
    <b:DayAccessed>9</b:DayAccessed>
    <b:URL>https://en.wikipedia.org/wiki/Demographics_of_Indonesia</b:URL>
    <b:ProductionCompany>Wikipedia</b:ProductionCompany>
    <b:RefOrder>11</b:RefOrder>
  </b:Source>
  <b:Source>
    <b:Tag>Edu20</b:Tag>
    <b:SourceType>InternetSite</b:SourceType>
    <b:Guid>{090D031A-C456-43FA-A4EA-935A91218DB2}</b:Guid>
    <b:Title>Education in Indonesia</b:Title>
    <b:YearAccessed>2020</b:YearAccessed>
    <b:MonthAccessed>May</b:MonthAccessed>
    <b:DayAccessed>9</b:DayAccessed>
    <b:URL>https://en.wikipedia.org/wiki/Education_in_Indonesia</b:URL>
    <b:ProductionCompany>Wikipedia</b:ProductionCompany>
    <b:RefOrder>8</b:RefOrder>
  </b:Source>
  <b:Source>
    <b:Tag>Geo20</b:Tag>
    <b:SourceType>InternetSite</b:SourceType>
    <b:Guid>{A6454642-63A0-4D32-817E-754658102BBA}</b:Guid>
    <b:Title>Geography of Indonesia</b:Title>
    <b:YearAccessed>2020</b:YearAccessed>
    <b:MonthAccessed>May</b:MonthAccessed>
    <b:DayAccessed>9</b:DayAccessed>
    <b:URL>https://en.wikipedia.org/wiki/Geography_of_Indonesia</b:URL>
    <b:ProductionCompany>Wikipedia</b:ProductionCompany>
    <b:RefOrder>32</b:RefOrder>
  </b:Source>
  <b:Source>
    <b:Tag>Cou20</b:Tag>
    <b:SourceType>InternetSite</b:SourceType>
    <b:Guid>{60110198-D11C-4A0E-A000-11CEF4962D68}</b:Guid>
    <b:Title>Country Comparison </b:Title>
    <b:YearAccessed>2020</b:YearAccessed>
    <b:MonthAccessed>May</b:MonthAccessed>
    <b:DayAccessed>9</b:DayAccessed>
    <b:URL>https://www.hofstede-insights.com/country-comparison/indonesia,switzerland</b:URL>
    <b:ProductionCompany>Hofstede Insights</b:ProductionCompany>
    <b:RefOrder>14</b:RefOrder>
  </b:Source>
  <b:Source>
    <b:Tag>20Ma</b:Tag>
    <b:SourceType>InternetSite</b:SourceType>
    <b:Guid>{DFF048F9-7A65-4EDF-9770-98081A3962D7}</b:Guid>
    <b:URL>https://unternehmen.goba-welt.ch</b:URL>
    <b:Title>Unternehmen - Goba AG</b:Title>
    <b:YearAccessed>2020</b:YearAccessed>
    <b:MonthAccessed>May</b:MonthAccessed>
    <b:DayAccessed>9</b:DayAccessed>
    <b:ProductionCompany>Goba AG</b:ProductionCompany>
    <b:RefOrder>1</b:RefOrder>
  </b:Source>
  <b:Source>
    <b:Tag>Gob20</b:Tag>
    <b:SourceType>InternetSite</b:SourceType>
    <b:Guid>{D6AB3762-71F7-4C93-B71A-F95115B428A6}</b:Guid>
    <b:Title>Goba AG</b:Title>
    <b:YearAccessed>2020</b:YearAccessed>
    <b:MonthAccessed>May</b:MonthAccessed>
    <b:DayAccessed>9</b:DayAccessed>
    <b:URL>https://de.wikipedia.org/wiki/Goba_(Unternehmen)</b:URL>
    <b:ProductionCompany>Wikipedia</b:ProductionCompany>
    <b:RefOrder>2</b:RefOrder>
  </b:Source>
  <b:Source>
    <b:Tag>Ind20</b:Tag>
    <b:SourceType>InternetSite</b:SourceType>
    <b:Guid>{E34B7397-1BA4-407A-8A14-93A6238A12CA}</b:Guid>
    <b:Title>Indonesia Population (2020) - Worldometer</b:Title>
    <b:YearAccessed>2020</b:YearAccessed>
    <b:MonthAccessed>May</b:MonthAccessed>
    <b:DayAccessed>9</b:DayAccessed>
    <b:URL>https://www.worldometers.info/world-population/indonesia-population/</b:URL>
    <b:ProductionCompany>WorldOMeter</b:ProductionCompany>
    <b:RefOrder>4</b:RefOrder>
  </b:Source>
  <b:Source>
    <b:Tag>Rel20</b:Tag>
    <b:SourceType>InternetSite</b:SourceType>
    <b:Guid>{ED49EF8B-173F-4CA9-B8E9-2200C5505B5B}</b:Guid>
    <b:Title>Religion in Indonesia</b:Title>
    <b:YearAccessed>2020</b:YearAccessed>
    <b:MonthAccessed>May</b:MonthAccessed>
    <b:DayAccessed>9</b:DayAccessed>
    <b:URL>https://en.wikipedia.org/wiki/Religion_in_Indonesia</b:URL>
    <b:ProductionCompany>WIkipedia</b:ProductionCompany>
    <b:RefOrder>12</b:RefOrder>
  </b:Source>
  <b:Source>
    <b:Tag>Suk20</b:Tag>
    <b:SourceType>InternetSite</b:SourceType>
    <b:Guid>{A46A8893-285E-4F9D-9885-883E6AFFC655}</b:Guid>
    <b:Title>Suku Bangsa - Indonesia.go.id</b:Title>
    <b:YearAccessed>2020</b:YearAccessed>
    <b:MonthAccessed>May</b:MonthAccessed>
    <b:DayAccessed>9</b:DayAccessed>
    <b:URL>https://indonesia.go.id/profil/suku-bangsa</b:URL>
    <b:ProductionCompany>Kementerian Pendidikan dan Kebudayaan Indonesia</b:ProductionCompany>
    <b:RefOrder>6</b:RefOrder>
  </b:Source>
  <b:Source>
    <b:Tag>Waj20</b:Tag>
    <b:SourceType>InternetSite</b:SourceType>
    <b:Guid>{D729EF20-8442-49A0-B7DE-B9292EBCD7E8}</b:Guid>
    <b:Title>Wajib Belajar Indonesia</b:Title>
    <b:YearAccessed>2020</b:YearAccessed>
    <b:MonthAccessed>May</b:MonthAccessed>
    <b:DayAccessed>9</b:DayAccessed>
    <b:URL>https://id.wikipedia.org/wiki/Wajib_belajar</b:URL>
    <b:ProductionCompany>Wikipedia</b:ProductionCompany>
    <b:RefOrder>9</b:RefOrder>
  </b:Source>
  <b:Source>
    <b:Tag>Cot19</b:Tag>
    <b:SourceType>Report</b:SourceType>
    <b:Guid>{11F77E10-5345-46CC-A454-86DC255EA17B}</b:Guid>
    <b:Title>Economic Report: INDONESIA</b:Title>
    <b:Year>2019</b:Year>
    <b:Author>
      <b:Author>
        <b:NameList>
          <b:Person>
            <b:Last>Cottier</b:Last>
            <b:First>Michael</b:First>
          </b:Person>
          <b:Person>
            <b:Last>Hardjakusumah</b:Last>
            <b:First>Cherika</b:First>
          </b:Person>
          <b:Person>
            <b:Last>Kemalawati</b:Last>
            <b:First>Cynthia</b:First>
          </b:Person>
        </b:NameList>
      </b:Author>
    </b:Author>
    <b:Publisher>DFAE</b:Publisher>
    <b:City>Jakarta</b:City>
    <b:RefOrder>20</b:RefOrder>
  </b:Source>
  <b:Source>
    <b:Tag>Ind201</b:Tag>
    <b:SourceType>InternetSite</b:SourceType>
    <b:Guid>{38C2EF5A-79EF-4DB3-A677-64E9417DD78E}</b:Guid>
    <b:Title>Indonesia GDP Annual Growth Rate</b:Title>
    <b:ProductionCompany>Trading Economics</b:ProductionCompany>
    <b:YearAccessed>2020</b:YearAccessed>
    <b:MonthAccessed>May</b:MonthAccessed>
    <b:DayAccessed>5</b:DayAccessed>
    <b:URL>https://tradingeconomics.com/indonesia/gdp-growth-annual</b:URL>
    <b:RefOrder>17</b:RefOrder>
  </b:Source>
  <b:Source>
    <b:Tag>GDP20</b:Tag>
    <b:SourceType>InternetSite</b:SourceType>
    <b:Guid>{563E52FE-E03C-4E2D-A785-BF8BEECB4E6A}</b:Guid>
    <b:Title>GDP and Spending</b:Title>
    <b:ProductionCompany>OECD.org</b:ProductionCompany>
    <b:YearAccessed>2020</b:YearAccessed>
    <b:MonthAccessed>May</b:MonthAccessed>
    <b:DayAccessed>5</b:DayAccessed>
    <b:URL>https://data.oecd.org/gdp/gross-domestic-product-gdp.htm</b:URL>
    <b:RefOrder>18</b:RefOrder>
  </b:Source>
  <b:Source>
    <b:Tag>Lis20</b:Tag>
    <b:SourceType>InternetSite</b:SourceType>
    <b:Guid>{F927712F-7D9F-4F83-855F-3FF1B0E02A3E}</b:Guid>
    <b:Title>List of Free Trade Agreements of Switzerland</b:Title>
    <b:ProductionCompany>SECO</b:ProductionCompany>
    <b:YearAccessed>2020</b:YearAccessed>
    <b:MonthAccessed>May</b:MonthAccessed>
    <b:DayAccessed>5</b:DayAccessed>
    <b:URL>https://www.seco.admin.ch/seco/en/home/Aussenwirtschaftspolitik_Wirtschaftliche_Zusammenarbeit/Wirtschaftsbeziehungen/Freihandelsabkommen/Liste_der_Freihandelsabkommen_der_Schweiz.html</b:URL>
    <b:RefOrder>23</b:RefOrder>
  </b:Source>
  <b:Source>
    <b:Tag>Ind202</b:Tag>
    <b:SourceType>InternetSite</b:SourceType>
    <b:Guid>{E3E497C5-FFB0-4D53-99AB-8604EF51DC0F}</b:Guid>
    <b:Title>Indonesia - Data</b:Title>
    <b:ProductionCompany>World Bank</b:ProductionCompany>
    <b:YearAccessed>2020</b:YearAccessed>
    <b:MonthAccessed>May</b:MonthAccessed>
    <b:DayAccessed>5</b:DayAccessed>
    <b:URL>https://data.worldbank.org/country/indonesia </b:URL>
    <b:RefOrder>19</b:RefOrder>
  </b:Source>
  <b:Source>
    <b:Tag>Wat20</b:Tag>
    <b:SourceType>InternetSite</b:SourceType>
    <b:Guid>{66D33754-3199-4C6A-B6A0-B77EF3953B30}</b:Guid>
    <b:Title>Water, Sanitation and Hygiene</b:Title>
    <b:ProductionCompany>UNICEF</b:ProductionCompany>
    <b:YearAccessed>2020</b:YearAccessed>
    <b:MonthAccessed>May</b:MonthAccessed>
    <b:DayAccessed>5</b:DayAccessed>
    <b:URL>https://www.unicef.org/indonesia/water-sanitation-and-hygiene </b:URL>
    <b:RefOrder>24</b:RefOrder>
  </b:Source>
  <b:Source>
    <b:Tag>EIB17</b:Tag>
    <b:SourceType>Report</b:SourceType>
    <b:Guid>{966E9669-9383-429F-A42B-49BA3132F977}</b:Guid>
    <b:Author>
      <b:Author>
        <b:NameList>
          <b:Person>
            <b:Last>EIBN</b:Last>
          </b:Person>
        </b:NameList>
      </b:Author>
    </b:Author>
    <b:Title>EIBN Sector Reports: Food &amp; Beverage</b:Title>
    <b:Year>2017</b:Year>
    <b:City>Jakarta</b:City>
    <b:Publisher>German-Indonesian Chamber of Industry and Commerce</b:Publisher>
    <b:RefOrder>22</b:RefOrder>
  </b:Source>
  <b:Source>
    <b:Tag>Bad191</b:Tag>
    <b:SourceType>Book</b:SourceType>
    <b:Guid>{DD600F8E-0D91-4C37-B862-6A8AFFC63C8A}</b:Guid>
    <b:Title>Potret Pendidikan Indonesia, Statistik Pendidikan 2019</b:Title>
    <b:Year>2019</b:Year>
    <b:Author>
      <b:Author>
        <b:NameList>
          <b:Person>
            <b:Last>BPS-Statistics</b:Last>
          </b:Person>
        </b:NameList>
      </b:Author>
    </b:Author>
    <b:City>Jakarta, Indonesia</b:City>
    <b:Publisher>Badan Pusat Statistik (BPS-Statistics) Indonesia</b:Publisher>
    <b:RefOrder>10</b:RefOrder>
  </b:Source>
  <b:Source>
    <b:Tag>Bad19</b:Tag>
    <b:SourceType>Book</b:SourceType>
    <b:Guid>{B3FF6DE5-657B-4F68-B8E5-FD35ADC57D84}</b:Guid>
    <b:Title>Statistik Indonesia (Statistical Yearbook of Indonesia) 2019</b:Title>
    <b:Year>2019</b:Year>
    <b:Author>
      <b:Author>
        <b:NameList>
          <b:Person>
            <b:Last>BPS-Statistics</b:Last>
          </b:Person>
        </b:NameList>
      </b:Author>
    </b:Author>
    <b:City>Jakarta, Indonesia</b:City>
    <b:Publisher>Badan Pusat Statistik (BPS-Statistics) Indonesia</b:Publisher>
    <b:RefOrder>5</b:RefOrder>
  </b:Source>
  <b:Source>
    <b:Tag>Pro20</b:Tag>
    <b:SourceType>ConferenceProceedings</b:SourceType>
    <b:Guid>{9240791F-7636-4E88-AEBE-AD87DA8EA9CF}</b:Guid>
    <b:Title>Global Markets and Intercultural Competence</b:Title>
    <b:Year>2020</b:Year>
    <b:City>Zurich</b:City>
    <b:Author>
      <b:Author>
        <b:NameList>
          <b:Person>
            <b:Last>Hauser</b:Last>
            <b:First>Prof.</b:First>
            <b:Middle>Dr. Christian</b:Middle>
          </b:Person>
        </b:NameList>
      </b:Author>
    </b:Author>
    <b:ConferenceName>MSE Engineering</b:ConferenceName>
    <b:RefOrder>21</b:RefOrder>
  </b:Source>
  <b:Source>
    <b:Tag>Cor20</b:Tag>
    <b:SourceType>InternetSite</b:SourceType>
    <b:Guid>{4AA0EBA6-D4AE-44AC-B72B-923A3584BDFD}</b:Guid>
    <b:Title>Corruption Perception Index</b:Title>
    <b:ProductionCompany>Transparency International</b:ProductionCompany>
    <b:YearAccessed>2020</b:YearAccessed>
    <b:MonthAccessed>May</b:MonthAccessed>
    <b:DayAccessed>12</b:DayAccessed>
    <b:URL>https://www.transparency.org/cpi2019</b:URL>
    <b:RefOrder>16</b:RefOrder>
  </b:Source>
  <b:Source>
    <b:Tag>Dem201</b:Tag>
    <b:SourceType>InternetSite</b:SourceType>
    <b:Guid>{2F5B5755-FD56-46CA-973D-81006BC1FC7D}</b:Guid>
    <b:Title>Democracy Index</b:Title>
    <b:ProductionCompany>Wikipedia</b:ProductionCompany>
    <b:YearAccessed>2020</b:YearAccessed>
    <b:MonthAccessed>May</b:MonthAccessed>
    <b:DayAccessed>12</b:DayAccessed>
    <b:URL>https://en.wikipedia.org/wiki/Democracy_Index</b:URL>
    <b:RefOrder>28</b:RefOrder>
  </b:Source>
  <b:Source>
    <b:Tag>Com20</b:Tag>
    <b:SourceType>InternetSite</b:SourceType>
    <b:Guid>{6BE32D96-201E-4F7A-80C9-472647C03DE6}</b:Guid>
    <b:Title>Compare Countries</b:Title>
    <b:ProductionCompany>The Global Economy</b:ProductionCompany>
    <b:YearAccessed>2020</b:YearAccessed>
    <b:MonthAccessed>May</b:MonthAccessed>
    <b:DayAccessed>12</b:DayAccessed>
    <b:URL>https://www.theglobaleconomy.com/compare-countries/</b:URL>
    <b:RefOrder>30</b:RefOrder>
  </b:Source>
  <b:Source>
    <b:Tag>Nat20</b:Tag>
    <b:SourceType>InternetSite</b:SourceType>
    <b:Guid>{5E979C29-3BF7-4E7C-82D2-54C3722DA8AB}</b:Guid>
    <b:Title>Natural Disasters in Indonesia</b:Title>
    <b:ProductionCompany>Indonesia Investments</b:ProductionCompany>
    <b:YearAccessed>2020</b:YearAccessed>
    <b:MonthAccessed>May</b:MonthAccessed>
    <b:DayAccessed>12</b:DayAccessed>
    <b:URL>https://www.indonesia-investments.com/business/risks/natural-disasters</b:URL>
    <b:RefOrder>33</b:RefOrder>
  </b:Source>
  <b:Source>
    <b:Tag>Pus18</b:Tag>
    <b:SourceType>Report</b:SourceType>
    <b:Guid>{912202C1-0FC9-4F65-857C-4D9738213A95}</b:Guid>
    <b:Title>Statistik Perhubungan</b:Title>
    <b:Year>2018</b:Year>
    <b:Author>
      <b:Author>
        <b:NameList>
          <b:Person>
            <b:Last>Pustikomhub</b:Last>
          </b:Person>
        </b:NameList>
      </b:Author>
    </b:Author>
    <b:Publisher>Ministry of Transportation</b:Publisher>
    <b:City>Jakarta</b:City>
    <b:RefOrder>34</b:RefOrder>
  </b:Source>
  <b:Source>
    <b:Tag>Ind203</b:Tag>
    <b:SourceType>InternetSite</b:SourceType>
    <b:Guid>{9661FBBB-A8CA-4488-9252-89A04620225D}</b:Guid>
    <b:Title>Indonesia Digital 2019</b:Title>
    <b:ProductionCompany>Websindo</b:ProductionCompany>
    <b:YearAccessed>2020</b:YearAccessed>
    <b:MonthAccessed>May</b:MonthAccessed>
    <b:DayAccessed>12</b:DayAccessed>
    <b:URL>https://websindo.com/indonesia-digital-2019-tinjauan-umum</b:URL>
    <b:RefOrder>36</b:RefOrder>
  </b:Source>
  <b:Source>
    <b:Tag>Ind18</b:Tag>
    <b:SourceType>Report</b:SourceType>
    <b:Guid>{ECA4875D-18C6-48F4-8DDE-6B2475B547EA}</b:Guid>
    <b:Title>Indonesia at A Glance</b:Title>
    <b:Year>2018</b:Year>
    <b:Publisher>Switzerland Global Enterprise</b:Publisher>
    <b:City>Jakarta</b:City>
    <b:RefOrder>37</b:RefOrder>
  </b:Source>
  <b:Source>
    <b:Tag>Eko18</b:Tag>
    <b:SourceType>Report</b:SourceType>
    <b:Guid>{294E900D-72C2-4447-A4E2-20106250F0CC}</b:Guid>
    <b:Author>
      <b:Author>
        <b:NameList>
          <b:Person>
            <b:Last>Ekonid</b:Last>
          </b:Person>
        </b:NameList>
      </b:Author>
    </b:Author>
    <b:Title>Market Report: Indonesia - Finished Food Products</b:Title>
    <b:Year>2018</b:Year>
    <b:Publisher>Switzerland Global Enterprise</b:Publisher>
    <b:City>Jakarta</b:City>
    <b:RefOrder>38</b:RefOrder>
  </b:Source>
  <b:Source>
    <b:Tag>Min18</b:Tag>
    <b:SourceType>Report</b:SourceType>
    <b:Guid>{E4EC4031-4E82-4CA7-A672-FEE8E754CB36}</b:Guid>
    <b:Author>
      <b:Author>
        <b:NameList>
          <b:Person>
            <b:Last>Kemenkominfo</b:Last>
          </b:Person>
        </b:NameList>
      </b:Author>
    </b:Author>
    <b:Title>Laporan Tahunan</b:Title>
    <b:Year>2018</b:Year>
    <b:Publisher>Ministry of Communication and Informatics</b:Publisher>
    <b:City>Jakarta</b:City>
    <b:RefOrder>35</b:RefOrder>
  </b:Source>
  <b:Source>
    <b:Tag>Ind204</b:Tag>
    <b:SourceType>InternetSite</b:SourceType>
    <b:Guid>{2D625242-68E9-4DE0-9ED2-428908821A7F}</b:Guid>
    <b:Title>Indonesia - RSF</b:Title>
    <b:ProductionCompany>RSF</b:ProductionCompany>
    <b:YearAccessed>2020</b:YearAccessed>
    <b:MonthAccessed>May</b:MonthAccessed>
    <b:DayAccessed>12</b:DayAccessed>
    <b:URL>https://rsf.org/en/indonesia</b:URL>
    <b:RefOrder>31</b:RefOrder>
  </b:Source>
  <b:Source>
    <b:Tag>Pos20</b:Tag>
    <b:SourceType>InternetSite</b:SourceType>
    <b:Guid>{A3450ED8-B068-41A7-B3C2-0DF1D50DC986}</b:Guid>
    <b:Title>Post-Suharto era in Indonesia</b:Title>
    <b:ProductionCompany>Wikipedia</b:ProductionCompany>
    <b:YearAccessed>2020</b:YearAccessed>
    <b:MonthAccessed>May</b:MonthAccessed>
    <b:DayAccessed>12</b:DayAccessed>
    <b:URL>https://en.wikipedia.org/wiki/Post-Suharto_era_in_Indonesia</b:URL>
    <b:RefOrder>29</b:RefOrder>
  </b:Source>
  <b:Source>
    <b:Tag>Cou201</b:Tag>
    <b:SourceType>InternetSite</b:SourceType>
    <b:Guid>{2ADAE378-2A50-4E20-90C5-B439AF5E0D51}</b:Guid>
    <b:Title>Country Risk - Indonesia</b:Title>
    <b:ProductionCompany>Euler Hermes Global</b:ProductionCompany>
    <b:YearAccessed>2020</b:YearAccessed>
    <b:MonthAccessed>May</b:MonthAccessed>
    <b:DayAccessed>12</b:DayAccessed>
    <b:URL>https://www.eulerhermes.com/en_global/economic-research/country-reports/Indonesia.html</b:URL>
    <b:RefOrder>39</b:RefOrder>
  </b:Source>
  <b:Source>
    <b:Tag>Pro201</b:Tag>
    <b:SourceType>ConferenceProceedings</b:SourceType>
    <b:Guid>{C42EF760-80F8-4DAA-96B5-21176CF22C61}</b:Guid>
    <b:Title>International Market Entry</b:Title>
    <b:Year>2020</b:Year>
    <b:Author>
      <b:Author>
        <b:NameList>
          <b:Person>
            <b:Last>Ammann</b:Last>
            <b:First>Prof.</b:First>
            <b:Middle>Dr. Paul</b:Middle>
          </b:Person>
        </b:NameList>
      </b:Author>
    </b:Author>
    <b:ConferenceName>MSE Engineering</b:ConferenceName>
    <b:City>Zurich</b:City>
    <b:RefOrder>40</b:RefOrder>
  </b:Source>
  <b:Source>
    <b:Tag>Ind205</b:Tag>
    <b:SourceType>InternetSite</b:SourceType>
    <b:Guid>{62B5E087-CBC1-421B-A46A-A5A65D58AFA3}</b:Guid>
    <b:Title>Indonesia tries to get companies to hold more rupiah to stem weakness</b:Title>
    <b:ProductionCompany>Reuters</b:ProductionCompany>
    <b:YearAccessed>2020</b:YearAccessed>
    <b:MonthAccessed>May</b:MonthAccessed>
    <b:DayAccessed>16</b:DayAccessed>
    <b:URL>https://www.reuters.com/article/us-indonesia-markets-currency-analysis/indonesia-tries-to-get-companies-to-hold-more-rupiah-to-stem-weakness-idUSKBN1J612T</b:URL>
    <b:RefOrder>25</b:RefOrder>
  </b:Source>
  <b:Source>
    <b:Tag>Ind206</b:Tag>
    <b:SourceType>InternetSite</b:SourceType>
    <b:Guid>{9EEFEA93-11D7-4F5C-87D3-608AFC2DE7EB}</b:Guid>
    <b:Title>Indonesia Exchange Rate against USD</b:Title>
    <b:ProductionCompany>CEIC</b:ProductionCompany>
    <b:YearAccessed>2020</b:YearAccessed>
    <b:MonthAccessed>May</b:MonthAccessed>
    <b:DayAccessed>16</b:DayAccessed>
    <b:URL>https://www.ceicdata.com/en/indicator/indonesia/exchange-rate-against-usd</b:URL>
    <b:RefOrder>26</b:RefOrder>
  </b:Source>
  <b:Source>
    <b:Tag>Rup20</b:Tag>
    <b:SourceType>InternetSite</b:SourceType>
    <b:Guid>{9A0E5419-A6DB-43A8-863E-F022DF215E13}</b:Guid>
    <b:Title>Rupiah's Rough Ride</b:Title>
    <b:ProductionCompany>The Conversation</b:ProductionCompany>
    <b:YearAccessed>2020</b:YearAccessed>
    <b:MonthAccessed>May</b:MonthAccessed>
    <b:DayAccessed>16</b:DayAccessed>
    <b:URL>https://theconversation.com/rupiahs-rough-ride-when-will-it-stop-99694</b:URL>
    <b:RefOrder>27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655489B320024D8B24797DAD29EABF" ma:contentTypeVersion="0" ma:contentTypeDescription="Ein neues Dokument erstellen." ma:contentTypeScope="" ma:versionID="b455b0d13f94e1549016ebc0a127c3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F7BEE-62C4-435C-9BB6-D3BB757BA0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892281-7D47-4ABB-A682-2B584F19ED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907405-9B6A-4C78-8ED7-4BFB6FA05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2AE695-3E01-4307-8751-8525C9B7D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Sugiarto</dc:creator>
  <dc:description/>
  <cp:lastModifiedBy>Koller Patrick</cp:lastModifiedBy>
  <cp:revision>14</cp:revision>
  <cp:lastPrinted>2021-03-02T19:48:00Z</cp:lastPrinted>
  <dcterms:created xsi:type="dcterms:W3CDTF">2021-03-02T17:24:00Z</dcterms:created>
  <dcterms:modified xsi:type="dcterms:W3CDTF">2021-03-02T19:48:00Z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0x01010019655489B320024D8B24797DAD29EABF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