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</w:tabs>
        <w:bidi w:val="0"/>
        <w:spacing w:lineRule="auto" w:line="360" w:before="482" w:after="482"/>
        <w:ind w:left="431" w:right="0" w:hanging="454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pl-PL"/>
        </w:rPr>
        <w:t>2. Opis technologii wykorzystywanych w projekcie</w:t>
      </w:r>
    </w:p>
    <w:p>
      <w:pPr>
        <w:pStyle w:val="Normal"/>
        <w:tabs>
          <w:tab w:val="clear" w:pos="709"/>
        </w:tabs>
        <w:bidi w:val="0"/>
        <w:spacing w:lineRule="auto" w:line="360" w:before="482" w:after="482"/>
        <w:ind w:left="578" w:right="0" w:hanging="454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>2.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1. Node.js - ekosystem niezbędny do budowy aplikacji w technologiach JavaScript</w:t>
      </w:r>
    </w:p>
    <w:p>
      <w:pPr>
        <w:pStyle w:val="Normal"/>
        <w:tabs>
          <w:tab w:val="clear" w:pos="709"/>
        </w:tabs>
        <w:bidi w:val="0"/>
        <w:spacing w:lineRule="auto" w:line="360" w:before="238" w:after="238"/>
        <w:ind w:left="0" w:right="0" w:firstLine="567"/>
        <w:jc w:val="both"/>
        <w:rPr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Node.js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[1]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jest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dostępnym dla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wiel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u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platform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środowiskiem uruchomieniowym opartym na otwartym kodzie źródłowym.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Stanowi główną bazę pod różnego rodzaju aplikacje wytwarzane w technologiach opartych na języku programowania JavaScript,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co oznacza uruchamianie projektu (zarówno warstwy front-end jak i warstwy back-end) z poziomu konsoli właśnie za pomocą wyżej wymienionej technologii. Jej obecność jest niezbędna także wziąwszy pod uwagę potrzebę instalowania nowych, zewnętrznych komponentów, a także ich przechowywania w celu późniejszego użycia bez potrzeby każdorazowego pobierania z sieci.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431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431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1590" cy="249618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Rys 1. Strona startowa strony Node.js.</w:t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 xml:space="preserve">Źródło: </w:t>
      </w:r>
      <w:hyperlink r:id="rId3">
        <w:r>
          <w:rPr>
            <w:rStyle w:val="Czeinternetowe"/>
            <w:rFonts w:ascii="Times New Roman" w:hAnsi="Times New Roman"/>
            <w:b w:val="false"/>
            <w:bCs w:val="false"/>
            <w:i/>
            <w:iCs/>
            <w:sz w:val="24"/>
            <w:szCs w:val="24"/>
          </w:rPr>
          <w:t>https://nodejs.org/en/</w:t>
        </w:r>
      </w:hyperlink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Skupienie się na roli Node.js w omawianym projekcie umożliwia bardziej zrozumieć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sposób dodawania zewnętrznych bibliotek do projektu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oraz opis imple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me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ntacji systemu.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l-PL"/>
        </w:rPr>
        <w:t>1. Express.js – budowa serwera</w:t>
      </w:r>
    </w:p>
    <w:p>
      <w:pPr>
        <w:pStyle w:val="Normal"/>
        <w:tabs>
          <w:tab w:val="clear" w:pos="709"/>
          <w:tab w:val="left" w:pos="345" w:leader="none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Express.js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jest jednym z wyżej przytoczonych komponentów wymagających instalacji do systemu.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W niniejszym projektu gra bardzo ważną rolę, ponieważ jego działa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nie stanowi fundament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pracy warstwy serwerowej, która obsługuje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funkcje, których działanie nie jest widoczne podczas obsługi aplikacji.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Powyższa biblioteka dostarcza możliwości implementacji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funkcji, które powinny się wykonać po otrzymaniu odpowiedniego żądania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request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) od warstwy front-end,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czyli wykonać odpowiednie operacje oraz zwracać rezultat, który można wykorzystać do innych operacji w różnym stopniu. Względnie prosta struktur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a, według której inicjujemy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właściwości nie wymusza na twórcy oprogramowania dokonywania wielu żmudnych zadań. Zapis poszczególnych funkcji opiera się wyłącznie na: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360" w:before="113" w:after="113"/>
        <w:jc w:val="both"/>
        <w:rPr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określeniu polecenia CRUD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Create, Read, Update, Delete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), czyli jak warstwa back-end powinna zachować się podczas wywołania danej części kodu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360" w:before="113" w:after="113"/>
        <w:jc w:val="both"/>
        <w:rPr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implementacji wyrażenia funkcyjnego zawierającego parametry do obsługi żądania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request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) oraz odpowiedzi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response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09"/>
        </w:tabs>
        <w:bidi w:val="0"/>
        <w:spacing w:lineRule="auto" w:line="360" w:before="113" w:after="11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Zakodowaniu ciała wyżej wymienionego bloku odpowiednim algorytmem, który winien zostać wykonaniu przy jego wywołaniu wraz z zapisami odnoszącymi się, co docelowo zostanie pobrane jako dane wejściowe (użycie z parametrem żądania) oraz co będzie stanowić informację zwrotną (użycie z parametrem odpowiedzi).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  <w:t xml:space="preserve">Nie istnieje także konieczność tworzenia rozległej sieci omawianej warstwy aplikacji, o ile programiście nie zależy na jej skrupulatnym uporządkowaniu, dzięki czemu mniej wymagający system nie będzie wymagał poświęcenia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czasu oraz zasobów w nadmiarze.</w:t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firstLine="567"/>
        <w:jc w:val="both"/>
        <w:rPr>
          <w:lang w:val="pl-PL"/>
        </w:rPr>
      </w:pPr>
      <w:r>
        <w:rPr>
          <w:rFonts w:ascii="Times New Roman" w:hAnsi="Times New Roman"/>
          <w:b/>
          <w:bCs/>
          <w:sz w:val="24"/>
          <w:szCs w:val="24"/>
          <w:lang w:val="pl-PL"/>
        </w:rPr>
        <w:t xml:space="preserve">2. Body-Parser 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>– operacje na przesyłanych obiektach po stronie serwera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Body-parser jest zewnętrzną biblioteką, bez której warstwa back-end nie może przetworzyć danych wprowadzanej z warstwy od strony klienta.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Sprawdza się w przypadku wierszy w formacie JSON pobieranych z warstwy front-end.</w:t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firstLine="567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b/>
          <w:bCs/>
          <w:sz w:val="24"/>
          <w:szCs w:val="24"/>
          <w:lang w:val="pl-PL"/>
        </w:rPr>
        <w:t>3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 xml:space="preserve">. </w:t>
      </w:r>
      <w:r>
        <w:rPr>
          <w:rFonts w:ascii="Times New Roman" w:hAnsi="Times New Roman"/>
          <w:b/>
          <w:bCs/>
          <w:lang w:val="pl-PL"/>
        </w:rPr>
        <w:t>JWT – autoryzacja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b w:val="false"/>
          <w:bCs w:val="false"/>
          <w:lang w:val="pl-PL"/>
        </w:rPr>
        <w:t>JWT (pełna nazwa: JsonWebToken) jest biblioteką przeznaczoną do tworzenia szyfrogramów przydatnych przy sekcji logowania c</w:t>
      </w:r>
      <w:r>
        <w:rPr>
          <w:rFonts w:ascii="Times New Roman" w:hAnsi="Times New Roman"/>
          <w:b w:val="false"/>
          <w:bCs w:val="false"/>
          <w:lang w:val="pl-PL"/>
        </w:rPr>
        <w:t>zy też sekcji zmiany hasła, które następnie podlegają weryfikacji przy wykonywaniu odpowiednich operacji. Wspomniany wcześniej zabieg ma na celu zabezpieczenie działania systemu przed potencjalną ingerencją ze stron osób trzecich, czyli włamaniem.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lang w:val="pl-PL"/>
        </w:rPr>
      </w:pPr>
      <w:r>
        <w:rPr>
          <w:rFonts w:ascii="Times New Roman" w:hAnsi="Times New Roman"/>
          <w:b w:val="false"/>
          <w:bCs w:val="false"/>
          <w:lang w:val="pl-PL"/>
        </w:rPr>
        <w:tab/>
      </w:r>
      <w:r>
        <w:rPr>
          <w:rFonts w:ascii="Times New Roman" w:hAnsi="Times New Roman"/>
          <w:b w:val="false"/>
          <w:bCs w:val="false"/>
          <w:lang w:val="pl-PL"/>
        </w:rPr>
        <w:t xml:space="preserve">W praktyce praca JWT opiera się na wytwarzaniu szyfrogramów, czyli tokenów dla każdej operacji (np. podczas udanej próby zalogowania do systemu, </w:t>
      </w:r>
      <w:r>
        <w:rPr>
          <w:rFonts w:ascii="Times New Roman" w:hAnsi="Times New Roman"/>
          <w:b w:val="false"/>
          <w:bCs w:val="false"/>
          <w:lang w:val="pl-PL"/>
        </w:rPr>
        <w:t>czy podejścia do odzyskiwania hasła</w:t>
      </w:r>
      <w:r>
        <w:rPr>
          <w:rFonts w:ascii="Times New Roman" w:hAnsi="Times New Roman"/>
          <w:b w:val="false"/>
          <w:bCs w:val="false"/>
          <w:lang w:val="pl-PL"/>
        </w:rPr>
        <w:t xml:space="preserve">), </w:t>
      </w:r>
      <w:r>
        <w:rPr>
          <w:rFonts w:ascii="Times New Roman" w:hAnsi="Times New Roman"/>
          <w:b w:val="false"/>
          <w:bCs w:val="false"/>
          <w:lang w:val="pl-PL"/>
        </w:rPr>
        <w:t xml:space="preserve">które są z reguły przeznaczone do identyfikacji dokonywanej operacji. Częstym takim przypadkiem jest użycie wygenerowanego ciągu znaków w plikach przechowujących dane niezbędne do obsługi zalogowanego użytkownika, czyli ciasteczkach (ang. </w:t>
      </w:r>
      <w:r>
        <w:rPr>
          <w:rFonts w:ascii="Times New Roman" w:hAnsi="Times New Roman"/>
          <w:b w:val="false"/>
          <w:bCs w:val="false"/>
          <w:i/>
          <w:iCs/>
          <w:lang w:val="pl-PL"/>
        </w:rPr>
        <w:t>cookies</w:t>
      </w:r>
      <w:r>
        <w:rPr>
          <w:rFonts w:ascii="Times New Roman" w:hAnsi="Times New Roman"/>
          <w:b w:val="false"/>
          <w:bCs w:val="false"/>
          <w:lang w:val="pl-PL"/>
        </w:rPr>
        <w:t>).</w:t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firstLine="680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val="pl-PL"/>
        </w:rPr>
        <w:t>4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>Bcrypt.js – zabezpieczenie hasła przez szyfrowanie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Poważnym potencjalnym zagrożeniem ze strony osób niepożądanych jest dostęp do haseł u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ż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ytkowników. Z pomocą przychodzi biblioteka Bcrypt.js, dzięki której w bazie danych można zapisać nie ciąg znaków podany w procesie rejestracji przez użytkownika końcowego, a wcześniej w warstwie back-end zaszyfrować dany ciąg z u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ż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yciem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kosztu wytwarzania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cost factory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)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.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Szyfrowanie zachodzi z użyciem metody „hashSync()”, gdzie jako parametry wchodzą: hasło, które powinno być poddane zaszyfrowaniu, a także liczba wskazująca, ile razy powinniśmy zaszyfrować dany ciąg znaków.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  <w:t xml:space="preserve">W ramach omawianej technologii, dokonujemy też porównania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dwóch ciągów znaków, czy są identyczne (na podstawie ich szyfrogramów). Sprawdza się to przy identyfikacji użytkownika podczas próby logowania do systemu.</w:t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firstLine="680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val="pl-PL"/>
        </w:rPr>
        <w:t>5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>Socket.io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 xml:space="preserve"> – zabezpieczenie hasła przez szyfrowanie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Socket.io jest biblioteką umożliwiającą dwukierunkową komunikację z minimalnym opóźnieniem dla każdej platformy między użytkownikami w czasie rzeczywistym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[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]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.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Fundamentem działania funkcjonalności jest wywołanie instancji serwera, na bazie którego można wykonywać dowolne operacje związane z powyżej wymienioną komunikacją.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Wewnątrz umieszczamy kod lub zmienną reprezentującą utworzenie serwera dla warstwy backendowej wykreowanej w technologii Express.js oraz dane pozwalające obejść zabezpieczenia CORS dla podanego adresu URL warstwy front-end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oraz metody, które biblioteka powinna obsługiwać (najważniejsze z nich to „GET” oraz „POST”).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pl-PL"/>
        </w:rPr>
        <w:t xml:space="preserve">6. </w:t>
      </w:r>
      <w:r>
        <w:rPr>
          <w:rFonts w:ascii="Times New Roman" w:hAnsi="Times New Roman"/>
          <w:b/>
          <w:bCs/>
          <w:sz w:val="24"/>
          <w:szCs w:val="24"/>
          <w:lang w:val="pl-PL"/>
        </w:rPr>
        <w:t>Nodemailer – komunikacja za pośrednictwem poczty e-mail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Nodemailer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]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jest modułem dla aplikacji pisanych w technologii Node.js, którego zadaniem jest nadawanie wiadomości e-mail do użytkowników danego systemu.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Jego podstawowa obsługa nie wydaję się być skomplikowana, o ile zrozumiała jest struktura typowej wiadomości e-mail. Początkowo należy ustalić transport,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a dokładnie serwis nadawcy oferujący usługi związane z pocztą internetową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e-mail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oraz adres i hasło nadawcy, od którego oficjalnie powinna wychodzić wyżej opisana korespondencja.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Sama procedura wysyłania pojedynczej wiadomości polega na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wywołaniu metody dla wywołanego wcześniej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transportu, „sendMail()”, w miejsce parametru (wewnątrz nawiasu)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winien się znaleźć obiekt zawierający właściwości: adres poczty elektronicznej nadawcy, adres odbiorcy,  tytuł, jaki zostanie wyświetlony na poczcie, oraz treść w formie tekstu bądź kodu w języku znaczników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HTML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 xml:space="preserve">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Hyper-Text Markup Language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).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pl-PL"/>
        </w:rPr>
        <w:t>Jeżeli wszystkie wymagane dane zostały zaimplementowane prawidłowo oraz algorytm wykonał się bez problemów, odbiorca powinien otrzymać wiadomość.</w:t>
      </w:r>
    </w:p>
    <w:p>
      <w:pPr>
        <w:pStyle w:val="Normal"/>
        <w:tabs>
          <w:tab w:val="clear" w:pos="709"/>
        </w:tabs>
        <w:bidi w:val="0"/>
        <w:spacing w:lineRule="auto" w:line="240" w:before="238" w:after="238"/>
        <w:ind w:left="578" w:right="0" w:hanging="0"/>
        <w:jc w:val="both"/>
        <w:rPr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>2.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2.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 xml:space="preserve">React - programowanie warstwy aplikacji od strony klienta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React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jest biblioteką przeznaczoną do budowania interfejsów użytkownika [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4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] opierającą się na fundamentach języka JavaScript.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Została ona wypuszczona do użytku w roku 2013 przez firmę Facebook oraz funkcjonuje na zasadach wolnego oprogramowania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Open Source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)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, dzięki czemu dana biblioteka może być na bieżąco udoskonalana przez szerokie grono programistów zainteresowanych działaniem na jej rzecz. Jej kod źródłowy jest dostępny do wglądu.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Głównym i najważniejszym elementem projektu wykreowanego w powyższej technologii jest komponent, który dzięki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nieskomplikowanej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i względnie liberalnej strukturze tworzenia aplikacji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można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budowa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ć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według własnych preferencji,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w postaci klasy bądź funkcji.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Wykonywanie bardziej zaawansowanych czynności w powyższej technologii ułatwiają dedykowane dla React biblioteki, które można zainstalować za pomocą środowiska „npm” dostępnego razem z ekosystemem „Node.js”. W omawianej aplikacji niezbędne okażą się: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lineRule="auto" w:line="360" w:before="113" w:after="11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react-router-dom: z jej pomocą zaimplementowane zostaje przełączanie komponentów oraz relacje między sobą. W niektórych przypadkach owa biblioteka umożliwia przenoszenie konkretnych danych z poprzedniego komponentu do następnego.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Dostarcza ona także narzędzi do nawigowania między komponentami między sobą oraz przenoszenia danych w postaci obiektu podczas zmiany podstrony, jeśli nie zachodzi ona na zasadzie relacji „rodzic – dziecko”, czyli nie następuje otwarcie komponentu nadrzędnego. 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lineRule="auto" w:line="360" w:before="113" w:after="11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react-cookies: 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głównym zadaniem tego elementu jest tworzenie oraz odtwarzanie tzw. ciasteczek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cookies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),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czyli plików, które są wytwarzane na potrzeby danej sesji (w przypadku omawianego systemu logowania na poszczególne konto), w przeglądarce internetowej można je odnaleźć w narzędziach deweloperskich w zakładce „Aplikacja” lub „Dane” w rekordzie „cookies” lub „ciasteczka”. Ważną funkcjonalnością jest także pobieranie konkretnych danych do wykorzystania w kodzie aplikacji. 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lineRule="auto" w:line="360" w:before="113" w:after="11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react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-hook-form: biblioteka ułatwiająca pracę z formularzami wykorzystywanymi w projekcie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do przetwarzania danych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wejściowych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podawanych bezpośrednio przez użytkownika końcowego. Wykorzystanie jej ułatwia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ich zap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is wyników z poszczególnych  za pomocą wbudowanej komendy „register” do obiektu w formacie JSON,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więc nie istnieje potrzeba tworzenia oddzielnej zmiennej do przechowywania pojedynczych wpisów. Ponadto ostateczny obiekt zostaje wygenerowany po zatwierdzeniu zmian (ang.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lang w:val="pl-PL"/>
        </w:rPr>
        <w:t>submitting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)  w formularzu.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lineRule="auto" w:line="360" w:before="113" w:after="11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r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eact-icons: biblioteka dostarczająca szeroką gamę ikon gotowych do wykorzystania w projekcie.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lineRule="auto" w:line="360" w:before="113" w:after="11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react-finnhub: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Wersja dostosowana do struktur React do przetwarzania danych z interfejsu API od Finnhub.io.</w:t>
      </w:r>
    </w:p>
    <w:p>
      <w:pPr>
        <w:pStyle w:val="Normal"/>
        <w:numPr>
          <w:ilvl w:val="0"/>
          <w:numId w:val="2"/>
        </w:numPr>
        <w:tabs>
          <w:tab w:val="clear" w:pos="709"/>
        </w:tabs>
        <w:bidi w:val="0"/>
        <w:spacing w:lineRule="auto" w:line="360" w:before="113" w:after="113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react-chartjs2: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Zewnętrzna biblioteka do zwracania grupy danych na bazie wykresów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Stylizowanie treści w sposób bezkolizyjny dla różnych komponentów jest możliwe przy użyciu biblioteki „styled-components”, którą należy zainstalować za pośrednictwem środowiska „npm” zawartego w ekosystemie Node.js.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737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240" w:before="136" w:after="136"/>
        <w:ind w:left="578" w:right="0" w:hanging="0"/>
        <w:jc w:val="both"/>
        <w:rPr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>2.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3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.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PostgreSQL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 xml:space="preserve"> – 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baza danych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„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PostgreSQL jest potężnym, opartym na otwartym kodzie źródłowym systemem dla obiektowo-relacyjnych baz danych”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[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5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].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Jak sama nazwa wskazuje,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powyższa technologia opiera się na języku SQL - przeznaczonym do budowy baz danych opartych na relacjach.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Jej wykorzystanie jest fundamentem do implementacji bazy danych dla systemu w przejrzysty sposób.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Tworzenie przestrzeni do przechowywania danych polega na zasadach działania języka SQL.</w:t>
      </w:r>
    </w:p>
    <w:p>
      <w:pPr>
        <w:pStyle w:val="Normal"/>
        <w:tabs>
          <w:tab w:val="clear" w:pos="709"/>
          <w:tab w:val="left" w:pos="578" w:leader="none"/>
          <w:tab w:val="left" w:pos="623" w:leader="none"/>
        </w:tabs>
        <w:bidi w:val="0"/>
        <w:spacing w:lineRule="auto" w:line="240" w:before="136" w:after="136"/>
        <w:ind w:left="578" w:right="0" w:hanging="0"/>
        <w:jc w:val="both"/>
        <w:rPr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>2.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4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 xml:space="preserve">Stripe - 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System płatności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>„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Stripe jest kompletem interfejsów zewnętrznych zasilających procesy płatności internetowych lub komercyjne rozwiązania dla biznesów internetowych wszelkich rozmiarów” [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6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]. Głównym zadaniem niniejszego narzędzia jest umożliwienie integracji dowolnego systemu informatycznego z algorytmami przetwarzającymi transakcje on-line, przykładowo aplikację internetową, czy mobilną.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Technologia została wydana w 2010 roku przez firmę Stripe Inc., irlandzko-amerykańskie przedsiębiorstwo zajmujące się serwisami oraz oprogramowaniem do spraw finansowych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[7]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Wykorzystanie tego systemu w owej pracy umożliwia operowanie danymi karty płatniczej wprowadzonymi przez użytkownika (tworzenie tokenu płatności oraz metody płatności za nabyty instrument).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Następnie w podobny sposób podlega zapisowy klient, który jeszcze nie był dodany do bazy Stripe dla jednego konta podpiętego do warstwy back-end.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360" w:before="113" w:after="113"/>
        <w:ind w:left="0" w:right="0" w:firstLine="567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Dodatkowo, niezbędnym jest pobranie danych karty płatniczej, z której środki powinny pokryć koszty transakcji. 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Po uzyskaniu wszystkich potrzebnych pozycji d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odajemy pojedynczą transakcję,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w której zawieramy dane tj. ilość (kwota) pieniędzy będąca należnością za nabyty przedmiot transakcji, walutę, w jakiej dokonujemy zakupu oraz, w razie konieczności, funkcji dotyczących sposobu płatności bądź automatycznego doboru środka płatniczego.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  <w:t xml:space="preserve">W przypadku implementacji algorytmu dla pojedynczej transakcji (zakup jednego rodzaju instrumentów finansowych od jednej firmy), gdy transakcja zakończy się pomyślnie, zostaje wygenerowany przez platformę Stripe dokument w rodzaju dowodu zakupu. </w:t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firstLine="567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firstLine="567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tabs>
          <w:tab w:val="clear" w:pos="709"/>
        </w:tabs>
        <w:bidi w:val="0"/>
        <w:spacing w:lineRule="auto" w:line="240" w:before="113" w:after="113"/>
        <w:ind w:left="0" w:right="0" w:firstLine="567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>2.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5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pl-PL"/>
        </w:rPr>
        <w:t>Zewnętrzne interfejsy API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Różne podmioty specjalizujące się w utrzymywaniu danych odnośnie niszowych rozwiązań 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udostępniają odpłatnie lub nieodpłatnie interfejsy, które są możliwe do wykorzystywania w dowolnych celach, bardzo często występuje to w przypadków wytwarzania różnych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aplikacji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informatycznych. 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Na potrzeby niniejszego systemu niezbędny jest użytek API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od dostawców: Finnhub.io (https://finnhub.io/) oraz TwelveData (https://twelvedata.com/).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  <w:t xml:space="preserve">Pierwszy z podmiotów udostępnia obszerny interfejs z okazałą ilością danych, które można wykorzystać do przetwarzania informacji w aplikacji. Skupiwszy się na istotnych  zasobach, pobieramy API z sekcji wiadomości, symboli wymiany walut wirtualnych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oraz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 danych firm należących do amerykańskiej giełdy.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W poniższej pracy interfejs od firmy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 xml:space="preserve">TwelveData dostarcza cen wybranego instrumentu zarówno dla sekcji giełdy jak i sekcji kryptowalut. </w:t>
      </w: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>Wynik zawiera 30 pozycji ostatnich odczytów.</w:t>
      </w:r>
    </w:p>
    <w:p>
      <w:pPr>
        <w:pStyle w:val="Normal"/>
        <w:tabs>
          <w:tab w:val="clear" w:pos="709"/>
        </w:tabs>
        <w:bidi w:val="0"/>
        <w:spacing w:lineRule="auto" w:line="360" w:before="113" w:after="113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pl-PL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pl-PL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odejs.org/en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LibreOffice/6.4.4.2$Windows_X86_64 LibreOffice_project/3d775be2011f3886db32dfd395a6a6d1ca2630ff</Application>
  <Pages>7</Pages>
  <Words>1551</Words>
  <Characters>10805</Characters>
  <CharactersWithSpaces>12335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dcterms:modified xsi:type="dcterms:W3CDTF">2022-11-16T21:54:13Z</dcterms:modified>
  <cp:revision>11</cp:revision>
  <dc:subject/>
  <dc:title/>
</cp:coreProperties>
</file>