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17A3" w14:textId="77777777" w:rsidR="003A1AB3" w:rsidRDefault="003A1AB3"/>
    <w:p w14:paraId="415BC326" w14:textId="77777777" w:rsidR="003A1AB3" w:rsidRDefault="003A1AB3"/>
    <w:p w14:paraId="3D08D6D0" w14:textId="77777777" w:rsidR="003A1AB3" w:rsidRDefault="003A1AB3"/>
    <w:p w14:paraId="205E45BA" w14:textId="31E2BEF2" w:rsidR="003A1AB3" w:rsidRPr="004E1847" w:rsidRDefault="003A1AB3" w:rsidP="003A1AB3">
      <w:pPr>
        <w:jc w:val="center"/>
        <w:rPr>
          <w:sz w:val="32"/>
          <w:szCs w:val="32"/>
        </w:rPr>
      </w:pPr>
      <w:r w:rsidRPr="004E1847">
        <w:rPr>
          <w:sz w:val="32"/>
          <w:szCs w:val="32"/>
        </w:rPr>
        <w:t>Specyfikacja wymagań</w:t>
      </w:r>
    </w:p>
    <w:p w14:paraId="78D08C06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5FE654FD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3FA21A83" w14:textId="77777777" w:rsidR="00CC0672" w:rsidRDefault="00CC0672" w:rsidP="003A1AB3">
      <w:pPr>
        <w:jc w:val="center"/>
      </w:pPr>
    </w:p>
    <w:p w14:paraId="517F0850" w14:textId="77777777" w:rsidR="00CC0672" w:rsidRDefault="00CC0672" w:rsidP="003A1AB3">
      <w:pPr>
        <w:jc w:val="center"/>
      </w:pPr>
    </w:p>
    <w:p w14:paraId="62D4BC1C" w14:textId="77777777" w:rsidR="00CC0672" w:rsidRDefault="00CC0672" w:rsidP="003A1AB3">
      <w:pPr>
        <w:jc w:val="center"/>
      </w:pPr>
    </w:p>
    <w:p w14:paraId="689A260E" w14:textId="77777777" w:rsidR="00CC0672" w:rsidRDefault="00CC0672" w:rsidP="003A1AB3">
      <w:pPr>
        <w:jc w:val="center"/>
      </w:pPr>
    </w:p>
    <w:p w14:paraId="73C7D16D" w14:textId="77777777" w:rsidR="00CC0672" w:rsidRDefault="00CC0672" w:rsidP="003A1AB3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C42D9" w14:paraId="5B835A3B" w14:textId="77777777" w:rsidTr="00200983">
        <w:tc>
          <w:tcPr>
            <w:tcW w:w="2265" w:type="dxa"/>
            <w:tcBorders>
              <w:top w:val="nil"/>
              <w:left w:val="nil"/>
            </w:tcBorders>
          </w:tcPr>
          <w:p w14:paraId="788C2967" w14:textId="77777777" w:rsidR="000C42D9" w:rsidRDefault="000C42D9" w:rsidP="00200983">
            <w:pPr>
              <w:jc w:val="center"/>
            </w:pPr>
          </w:p>
        </w:tc>
        <w:tc>
          <w:tcPr>
            <w:tcW w:w="2265" w:type="dxa"/>
          </w:tcPr>
          <w:p w14:paraId="341D45C9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620B031D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0C42D9" w14:paraId="58662018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59297C73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27981AA6" w14:textId="77777777" w:rsidR="000C42D9" w:rsidRDefault="000C42D9" w:rsidP="00200983">
            <w:r>
              <w:t>Adam Bień</w:t>
            </w:r>
          </w:p>
        </w:tc>
        <w:tc>
          <w:tcPr>
            <w:tcW w:w="2266" w:type="dxa"/>
            <w:vAlign w:val="center"/>
          </w:tcPr>
          <w:p w14:paraId="1143281A" w14:textId="77777777" w:rsidR="000C42D9" w:rsidRDefault="000C42D9" w:rsidP="00200983">
            <w:r>
              <w:t>16.04.2024r.</w:t>
            </w:r>
          </w:p>
        </w:tc>
      </w:tr>
      <w:tr w:rsidR="000C42D9" w14:paraId="4D8AE24F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60EA30D4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13601560" w14:textId="77777777" w:rsidR="000C42D9" w:rsidRDefault="000C42D9" w:rsidP="00200983">
            <w:r>
              <w:t>Patryk Słomian</w:t>
            </w:r>
          </w:p>
        </w:tc>
        <w:tc>
          <w:tcPr>
            <w:tcW w:w="2266" w:type="dxa"/>
            <w:vAlign w:val="center"/>
          </w:tcPr>
          <w:p w14:paraId="6820CDFA" w14:textId="77777777" w:rsidR="000C42D9" w:rsidRDefault="000C42D9" w:rsidP="00200983">
            <w:r>
              <w:t>16.04.2024r.</w:t>
            </w:r>
          </w:p>
        </w:tc>
      </w:tr>
    </w:tbl>
    <w:p w14:paraId="2A821127" w14:textId="18292908" w:rsidR="00CC0672" w:rsidRDefault="00CC0672" w:rsidP="003A1AB3">
      <w:pPr>
        <w:jc w:val="center"/>
      </w:pPr>
    </w:p>
    <w:p w14:paraId="7E17C65C" w14:textId="226608E2" w:rsidR="00E16E71" w:rsidRDefault="00E16E71">
      <w:r>
        <w:br w:type="page"/>
      </w:r>
    </w:p>
    <w:p w14:paraId="3F6F85DE" w14:textId="77777777" w:rsidR="00E16E71" w:rsidRDefault="00E16E7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075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FECA6" w14:textId="0ECB1AC2" w:rsidR="00E16E71" w:rsidRDefault="00E16E71">
          <w:pPr>
            <w:pStyle w:val="Nagwekspisutreci"/>
          </w:pPr>
          <w:r>
            <w:t>Spis treści</w:t>
          </w:r>
        </w:p>
        <w:p w14:paraId="052F2D9D" w14:textId="4F7DA927" w:rsidR="00EC6EF4" w:rsidRDefault="00E16E7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50" w:history="1">
            <w:r w:rsidR="00EC6EF4" w:rsidRPr="008F6BE0">
              <w:rPr>
                <w:rStyle w:val="Hipercze"/>
                <w:rFonts w:cstheme="minorHAnsi"/>
                <w:noProof/>
              </w:rPr>
              <w:t>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Wstęp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DF59442" w14:textId="34BE0F40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1" w:history="1">
            <w:r w:rsidR="00EC6EF4" w:rsidRPr="008F6BE0">
              <w:rPr>
                <w:rStyle w:val="Hipercze"/>
                <w:rFonts w:cstheme="minorHAnsi"/>
                <w:noProof/>
              </w:rPr>
              <w:t>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Cel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14598F8" w14:textId="3A6CC804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2" w:history="1">
            <w:r w:rsidR="00EC6EF4" w:rsidRPr="008F6BE0">
              <w:rPr>
                <w:rStyle w:val="Hipercze"/>
                <w:rFonts w:cstheme="minorHAnsi"/>
                <w:noProof/>
              </w:rPr>
              <w:t>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Zakres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60A38A2" w14:textId="23A6C620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3" w:history="1">
            <w:r w:rsidR="00EC6EF4" w:rsidRPr="008F6BE0">
              <w:rPr>
                <w:rStyle w:val="Hipercze"/>
                <w:rFonts w:cstheme="minorHAnsi"/>
                <w:noProof/>
              </w:rPr>
              <w:t>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12B9731" w14:textId="5D3A388E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4" w:history="1">
            <w:r w:rsidR="00EC6EF4" w:rsidRPr="008F6BE0">
              <w:rPr>
                <w:rStyle w:val="Hipercze"/>
                <w:rFonts w:cstheme="minorHAnsi"/>
                <w:noProof/>
              </w:rPr>
              <w:t>5.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niefunkcjonalne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053DB7E" w14:textId="494850BF" w:rsidR="00EC6EF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5" w:history="1">
            <w:r w:rsidR="00EC6EF4" w:rsidRPr="008F6BE0">
              <w:rPr>
                <w:rStyle w:val="Hipercze"/>
                <w:rFonts w:cstheme="minorHAnsi"/>
                <w:noProof/>
              </w:rPr>
              <w:t>5.1.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C181617" w14:textId="77560224" w:rsidR="00EC6EF4" w:rsidRDefault="00000000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6" w:history="1">
            <w:r w:rsidR="00EC6EF4" w:rsidRPr="008F6BE0">
              <w:rPr>
                <w:rStyle w:val="Hipercze"/>
                <w:rFonts w:cstheme="minorHAnsi"/>
                <w:noProof/>
              </w:rPr>
              <w:t>5.1.1.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użytkownika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_Toc168770156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31440DD" w14:textId="314382F3" w:rsidR="00EC6EF4" w:rsidRDefault="00000000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7" w:history="1">
            <w:r w:rsidR="00EC6EF4" w:rsidRPr="008F6BE0">
              <w:rPr>
                <w:rStyle w:val="Hipercze"/>
                <w:rFonts w:cstheme="minorHAnsi"/>
                <w:noProof/>
              </w:rPr>
              <w:t>5.1.2.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sprzętowe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_Toc168770157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093DD2" w14:textId="7E82CD64" w:rsidR="00EC6EF4" w:rsidRDefault="00000000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8" w:history="1">
            <w:r w:rsidR="00EC6EF4" w:rsidRPr="008F6BE0">
              <w:rPr>
                <w:rStyle w:val="Hipercze"/>
                <w:rFonts w:cstheme="minorHAnsi"/>
                <w:noProof/>
              </w:rPr>
              <w:t>5.1.3.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komunikacyjne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_Toc168770158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C956B78" w14:textId="24DE1045" w:rsidR="00EC6EF4" w:rsidRDefault="00000000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9" w:history="1">
            <w:r w:rsidR="00EC6EF4" w:rsidRPr="008F6BE0">
              <w:rPr>
                <w:rStyle w:val="Hipercze"/>
                <w:rFonts w:cstheme="minorHAnsi"/>
                <w:noProof/>
              </w:rPr>
              <w:t>5.1.4.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programowe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_Toc168770159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48ADB1" w14:textId="542732DA" w:rsidR="00EC6EF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0" w:history="1">
            <w:r w:rsidR="00EC6EF4" w:rsidRPr="008F6BE0">
              <w:rPr>
                <w:rStyle w:val="Hipercze"/>
                <w:rFonts w:cstheme="minorHAnsi"/>
                <w:noProof/>
              </w:rPr>
              <w:t>5.2.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Warunki serwisowania (suport)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E3C23A3" w14:textId="2E8CD90F" w:rsidR="00EC6EF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1" w:history="1">
            <w:r w:rsidR="00EC6EF4" w:rsidRPr="008F6BE0">
              <w:rPr>
                <w:rStyle w:val="Hipercze"/>
                <w:rFonts w:cstheme="minorHAnsi"/>
                <w:noProof/>
              </w:rPr>
              <w:t>5.3.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licencyjne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42FF0DF" w14:textId="26B88711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2" w:history="1">
            <w:r w:rsidR="00EC6EF4" w:rsidRPr="008F6BE0">
              <w:rPr>
                <w:rStyle w:val="Hipercze"/>
                <w:rFonts w:cstheme="minorHAnsi"/>
                <w:noProof/>
              </w:rPr>
              <w:t>6.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dotyczące jakości modelowanego systemu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E384785" w14:textId="2999D7DD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3" w:history="1">
            <w:r w:rsidR="00EC6EF4" w:rsidRPr="008F6BE0">
              <w:rPr>
                <w:rStyle w:val="Hipercze"/>
                <w:rFonts w:cstheme="minorHAnsi"/>
                <w:noProof/>
              </w:rPr>
              <w:t>7.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Bazy danych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01C8F1D" w14:textId="1E57723D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4" w:history="1">
            <w:r w:rsidR="00EC6EF4" w:rsidRPr="008F6BE0">
              <w:rPr>
                <w:rStyle w:val="Hipercze"/>
                <w:rFonts w:cstheme="minorHAnsi"/>
                <w:noProof/>
              </w:rPr>
              <w:t>8.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Stosowane standardy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2AAFE30" w14:textId="456F1FF6" w:rsidR="00EC6EF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5" w:history="1">
            <w:r w:rsidR="00EC6EF4" w:rsidRPr="008F6BE0">
              <w:rPr>
                <w:rStyle w:val="Hipercze"/>
                <w:rFonts w:cstheme="minorHAnsi"/>
                <w:noProof/>
              </w:rPr>
              <w:t>9.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Opis węzłów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976594C" w14:textId="64E6492F" w:rsidR="00E16E71" w:rsidRDefault="00E16E71">
          <w:r>
            <w:rPr>
              <w:b/>
              <w:bCs/>
            </w:rPr>
            <w:fldChar w:fldCharType="end"/>
          </w:r>
        </w:p>
      </w:sdtContent>
    </w:sdt>
    <w:p w14:paraId="2FA51C26" w14:textId="6C359CBE" w:rsidR="00E16E71" w:rsidRDefault="00E16E71">
      <w:r>
        <w:br w:type="page"/>
      </w:r>
    </w:p>
    <w:p w14:paraId="5C82B7F1" w14:textId="77777777" w:rsidR="00CC0672" w:rsidRDefault="00CC0672"/>
    <w:p w14:paraId="1A85C026" w14:textId="3749429A" w:rsidR="00CC0672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5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2066D5AF" w14:textId="5E26D1A1" w:rsidR="00B85F5C" w:rsidRPr="00B85F5C" w:rsidRDefault="00B85F5C" w:rsidP="00B85F5C">
      <w:r w:rsidRPr="00B85F5C">
        <w:t>Specyfikacja wymagań opisuje funkcjonalności, interfejsy oraz wymagania dotyczące jakości aplikacji "Sklep z grami komputerowymi". Celem dokumentu jest dostarczenie szczegółowych wytycznych dla zespołu programistycznego oraz interesariuszy projektu, aby zapewnić prawidłowe zrozumienie i realizację wymagań projektu.</w:t>
      </w:r>
    </w:p>
    <w:p w14:paraId="7BCC7E10" w14:textId="3B3C02BB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5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Cel specyfikacji</w:t>
      </w:r>
      <w:bookmarkEnd w:id="1"/>
    </w:p>
    <w:p w14:paraId="79D862C3" w14:textId="5ADDDEC2" w:rsidR="00B85F5C" w:rsidRPr="00B85F5C" w:rsidRDefault="00B85F5C" w:rsidP="00B85F5C">
      <w:r w:rsidRPr="00B85F5C">
        <w:t>Celem specyfikacji jest zdefiniowanie i szczegółowe opisanie wymagań funkcjonalnych, niefunkcjonalnych oraz jakościowych aplikacji, które będą stanowić podstawę do jej rozwoju, testowania i wdrożenia. Dokument ten ma na celu ułatwienie komunikacji pomiędzy zespołem deweloperskim a klientem oraz zapewnienie, że wszystkie strony mają wspólne zrozumienie celów projektu.</w:t>
      </w:r>
    </w:p>
    <w:p w14:paraId="11D4845C" w14:textId="413D2C7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5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7B0D43BC" w14:textId="6EF81CEB" w:rsidR="00B85F5C" w:rsidRPr="00B85F5C" w:rsidRDefault="00B85F5C" w:rsidP="00B85F5C">
      <w:r w:rsidRPr="00B85F5C">
        <w:t>Specyfikacja obejmuje wymagania dotyczące funkcjonalności aplikacji, takie jak zarządzanie użytkownikami, przeglądanie katalogu gier, dokonywanie zakupów oraz obsługę płatności. Dodatkowo uwzględnia wymagania niefunkcjonalne, takie jak interfejsy użytkownika, interfejsy sprzętowe, komunikacyjne i programowe, a także wymagania dotyczące serwisowania, licencji oraz jakości systemu.</w:t>
      </w:r>
    </w:p>
    <w:p w14:paraId="667F5A67" w14:textId="34EF87B9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5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funkcjonalne</w:t>
      </w:r>
      <w:bookmarkEnd w:id="3"/>
    </w:p>
    <w:p w14:paraId="53090A38" w14:textId="1AC73B7E" w:rsidR="00B85F5C" w:rsidRDefault="00B85F5C" w:rsidP="00B85F5C">
      <w:pPr>
        <w:pStyle w:val="Akapitzlist"/>
        <w:numPr>
          <w:ilvl w:val="0"/>
          <w:numId w:val="4"/>
        </w:numPr>
      </w:pPr>
      <w:r>
        <w:t>Zarządzanie użytkownikami</w:t>
      </w:r>
    </w:p>
    <w:p w14:paraId="70A11FA0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Rejestracja nowych użytkowników z wykorzystaniem adresu e-mail i hasła.</w:t>
      </w:r>
    </w:p>
    <w:p w14:paraId="70474052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Logowanie użytkowników z wykorzystaniem danych uwierzytelniających.</w:t>
      </w:r>
    </w:p>
    <w:p w14:paraId="787B8C16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Możliwość resetowania hasła przez użytkownika.</w:t>
      </w:r>
    </w:p>
    <w:p w14:paraId="50FDC5D6" w14:textId="36BA2366" w:rsidR="00B85F5C" w:rsidRDefault="00B85F5C" w:rsidP="00B85F5C">
      <w:pPr>
        <w:pStyle w:val="Akapitzlist"/>
        <w:numPr>
          <w:ilvl w:val="0"/>
          <w:numId w:val="5"/>
        </w:numPr>
      </w:pPr>
      <w:r w:rsidRPr="00B85F5C">
        <w:t>Profil użytkownika umożliwiający edycję danych osobowych i historii zakupów.</w:t>
      </w:r>
    </w:p>
    <w:p w14:paraId="4AC61919" w14:textId="335D3BA5" w:rsidR="00B85F5C" w:rsidRDefault="00B85F5C" w:rsidP="00B85F5C">
      <w:pPr>
        <w:pStyle w:val="Akapitzlist"/>
        <w:numPr>
          <w:ilvl w:val="0"/>
          <w:numId w:val="4"/>
        </w:numPr>
      </w:pPr>
      <w:r>
        <w:t>Przeglądanie katalogu gier</w:t>
      </w:r>
    </w:p>
    <w:p w14:paraId="5DBF6A43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Wyświetlanie listy gier dostępnych do zakupu.</w:t>
      </w:r>
    </w:p>
    <w:p w14:paraId="135C6C2D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Możliwość filtrowania i sortowania gier według kategorii, ceny, popularności, daty wydania itp.</w:t>
      </w:r>
    </w:p>
    <w:p w14:paraId="277A9365" w14:textId="5BAEBA09" w:rsidR="00B85F5C" w:rsidRDefault="00B85F5C" w:rsidP="00B85F5C">
      <w:pPr>
        <w:pStyle w:val="Akapitzlist"/>
        <w:numPr>
          <w:ilvl w:val="0"/>
          <w:numId w:val="6"/>
        </w:numPr>
      </w:pPr>
      <w:r>
        <w:t>Szczegółowe strony produktu z opisem gry, wymaganiami sprzętowymi, recenzjami użytkowników i ocenami.</w:t>
      </w:r>
    </w:p>
    <w:p w14:paraId="3779FA72" w14:textId="14A0A162" w:rsidR="00B85F5C" w:rsidRDefault="00B85F5C" w:rsidP="00B85F5C">
      <w:pPr>
        <w:pStyle w:val="Akapitzlist"/>
        <w:numPr>
          <w:ilvl w:val="0"/>
          <w:numId w:val="4"/>
        </w:numPr>
      </w:pPr>
      <w:r>
        <w:t>Koszyk i proces zakupu</w:t>
      </w:r>
    </w:p>
    <w:p w14:paraId="619EDC09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Możliwość dodawania gier do koszyka zakupowego.</w:t>
      </w:r>
    </w:p>
    <w:p w14:paraId="266C3D3B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Podgląd i edycja zawartości koszyka.</w:t>
      </w:r>
    </w:p>
    <w:p w14:paraId="3A17AA0A" w14:textId="2175D2DB" w:rsidR="00B85F5C" w:rsidRDefault="00B85F5C" w:rsidP="00B85F5C">
      <w:pPr>
        <w:pStyle w:val="Akapitzlist"/>
        <w:numPr>
          <w:ilvl w:val="0"/>
          <w:numId w:val="7"/>
        </w:numPr>
      </w:pPr>
      <w:r w:rsidRPr="00B85F5C">
        <w:t>Przejście do realizacji zamówienia (</w:t>
      </w:r>
      <w:proofErr w:type="spellStart"/>
      <w:r w:rsidRPr="00B85F5C">
        <w:t>checkout</w:t>
      </w:r>
      <w:proofErr w:type="spellEnd"/>
      <w:r w:rsidRPr="00B85F5C">
        <w:t>) z opcją wyboru metody płatności.</w:t>
      </w:r>
    </w:p>
    <w:p w14:paraId="6C0F382D" w14:textId="522E19E7" w:rsidR="00B85F5C" w:rsidRDefault="00B85F5C" w:rsidP="00B85F5C">
      <w:pPr>
        <w:pStyle w:val="Akapitzlist"/>
        <w:numPr>
          <w:ilvl w:val="0"/>
          <w:numId w:val="4"/>
        </w:numPr>
      </w:pPr>
      <w:r>
        <w:t>Płatności i realizacja zamówienia</w:t>
      </w:r>
    </w:p>
    <w:p w14:paraId="46D01826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 xml:space="preserve">Obsługa różnych metod płatności (karty kredytowe, </w:t>
      </w:r>
      <w:proofErr w:type="spellStart"/>
      <w:r w:rsidRPr="00B85F5C">
        <w:t>PayPal</w:t>
      </w:r>
      <w:proofErr w:type="spellEnd"/>
      <w:r w:rsidRPr="00B85F5C">
        <w:t>, przelewy bankowe).</w:t>
      </w:r>
    </w:p>
    <w:p w14:paraId="383B42D2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>Integracja z zewnętrznymi dostawcami usług płatniczych.</w:t>
      </w:r>
    </w:p>
    <w:p w14:paraId="37EB2ADC" w14:textId="547F4409" w:rsidR="00B85F5C" w:rsidRDefault="00B85F5C" w:rsidP="00B85F5C">
      <w:pPr>
        <w:pStyle w:val="Akapitzlist"/>
        <w:numPr>
          <w:ilvl w:val="0"/>
          <w:numId w:val="8"/>
        </w:numPr>
      </w:pPr>
      <w:r w:rsidRPr="00B85F5C">
        <w:t>Generowanie i wysyłanie potwierdzeń zamówienia do klientów.</w:t>
      </w:r>
    </w:p>
    <w:p w14:paraId="3BC18B45" w14:textId="16599A46" w:rsidR="00B85F5C" w:rsidRDefault="00B85F5C" w:rsidP="00B85F5C">
      <w:pPr>
        <w:pStyle w:val="Akapitzlist"/>
        <w:numPr>
          <w:ilvl w:val="0"/>
          <w:numId w:val="4"/>
        </w:numPr>
      </w:pPr>
      <w:r>
        <w:t>Obsługa zwrotów i reklamacji</w:t>
      </w:r>
    </w:p>
    <w:p w14:paraId="6BC48DED" w14:textId="77777777" w:rsidR="00B85F5C" w:rsidRPr="00B85F5C" w:rsidRDefault="00B85F5C" w:rsidP="00B85F5C">
      <w:pPr>
        <w:pStyle w:val="Akapitzlist"/>
        <w:numPr>
          <w:ilvl w:val="0"/>
          <w:numId w:val="9"/>
        </w:numPr>
      </w:pPr>
      <w:r w:rsidRPr="00B85F5C">
        <w:t>System obsługi zwrotów i reklamacji umożliwiający zgłaszanie problemów z zakupionymi grami.</w:t>
      </w:r>
    </w:p>
    <w:p w14:paraId="352CA052" w14:textId="6E85A146" w:rsidR="00B85F5C" w:rsidRDefault="00B85F5C" w:rsidP="00B85F5C">
      <w:pPr>
        <w:pStyle w:val="Akapitzlist"/>
        <w:numPr>
          <w:ilvl w:val="0"/>
          <w:numId w:val="9"/>
        </w:numPr>
      </w:pPr>
      <w:r w:rsidRPr="00B85F5C">
        <w:t>Automatyzacja procesów zwrotów zgodnie z polityką sklepu.</w:t>
      </w:r>
    </w:p>
    <w:p w14:paraId="7FC76D6B" w14:textId="5FF60E8C" w:rsidR="00B85F5C" w:rsidRDefault="00B85F5C" w:rsidP="00B85F5C">
      <w:pPr>
        <w:pStyle w:val="Akapitzlist"/>
        <w:numPr>
          <w:ilvl w:val="0"/>
          <w:numId w:val="4"/>
        </w:numPr>
      </w:pPr>
      <w:r>
        <w:t>Recenzje i oceny gier</w:t>
      </w:r>
    </w:p>
    <w:p w14:paraId="6361829E" w14:textId="77777777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Możliwość dodawania recenzji i ocen gier przez zarejestrowanych użytkowników.</w:t>
      </w:r>
    </w:p>
    <w:p w14:paraId="6DD565AD" w14:textId="2EDCD133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Moderacja recenzji przez administratorów sklepu.</w:t>
      </w:r>
    </w:p>
    <w:p w14:paraId="253C3064" w14:textId="205BD71C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5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Wymagania niefunkcjonalne</w:t>
      </w:r>
      <w:bookmarkEnd w:id="4"/>
    </w:p>
    <w:p w14:paraId="27576E61" w14:textId="61D12BF9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5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</w:t>
      </w:r>
      <w:bookmarkEnd w:id="5"/>
    </w:p>
    <w:p w14:paraId="276D9FBF" w14:textId="6C5EA4A5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56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6"/>
    </w:p>
    <w:p w14:paraId="3F9CEED9" w14:textId="77777777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Intuicyjny i responsywny interfejs użytkownika dostosowany do różnych urządzeń (desktop, tablet, smartfon).</w:t>
      </w:r>
    </w:p>
    <w:p w14:paraId="3A651EFB" w14:textId="0283C251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Interfejs oparty na wzorcach projektowych UX/UI, z łatwo dostępnymi funkcjami nawigacyjnymi.</w:t>
      </w:r>
    </w:p>
    <w:p w14:paraId="2A8D4F3E" w14:textId="24A0B45D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57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7"/>
    </w:p>
    <w:p w14:paraId="2FFF67E3" w14:textId="77777777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Obsługa aplikacji na standardowych przeglądarkach internetowych (Chrome, </w:t>
      </w:r>
      <w:proofErr w:type="spellStart"/>
      <w:r w:rsidRPr="00B85F5C">
        <w:t>Firefox</w:t>
      </w:r>
      <w:proofErr w:type="spellEnd"/>
      <w:r w:rsidRPr="00B85F5C">
        <w:t>, Safari, Edge).</w:t>
      </w:r>
    </w:p>
    <w:p w14:paraId="3EB7366E" w14:textId="7441457B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Wsparcie dla urządzeń z systemami Windows, </w:t>
      </w:r>
      <w:proofErr w:type="spellStart"/>
      <w:r w:rsidRPr="00B85F5C">
        <w:t>macOS</w:t>
      </w:r>
      <w:proofErr w:type="spellEnd"/>
      <w:r w:rsidRPr="00B85F5C">
        <w:t>, Linux, Android i iOS.</w:t>
      </w:r>
    </w:p>
    <w:p w14:paraId="70793499" w14:textId="72CC26F7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58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8"/>
    </w:p>
    <w:p w14:paraId="458DEE24" w14:textId="7777777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 xml:space="preserve">API </w:t>
      </w:r>
      <w:proofErr w:type="spellStart"/>
      <w:r w:rsidRPr="00B85F5C">
        <w:t>RESTful</w:t>
      </w:r>
      <w:proofErr w:type="spellEnd"/>
      <w:r w:rsidRPr="00B85F5C">
        <w:t xml:space="preserve"> umożliwiające integrację z zewnętrznymi systemami płatności oraz innymi usługami.</w:t>
      </w:r>
    </w:p>
    <w:p w14:paraId="27B2115D" w14:textId="70F5A7A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>Szyfrowanie danych przesyłanych przez sieć z wykorzystaniem protokołu HTTPS.</w:t>
      </w:r>
    </w:p>
    <w:p w14:paraId="4F251EE6" w14:textId="7E904014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59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9"/>
    </w:p>
    <w:p w14:paraId="1413ED93" w14:textId="77777777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Dokumentacja API dla deweloperów, umożliwiająca łatwą integrację zewnętrznych usług i aplikacji.</w:t>
      </w:r>
    </w:p>
    <w:p w14:paraId="6BC11465" w14:textId="5B8DEF00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Modułowa architektura umożliwiająca dodawanie nowych funkcjonalności bez znaczących zmian w istniejącej bazie kodu.</w:t>
      </w:r>
    </w:p>
    <w:p w14:paraId="404C668C" w14:textId="10714D29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6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Warunki serwisowania (suport)</w:t>
      </w:r>
      <w:bookmarkEnd w:id="10"/>
    </w:p>
    <w:p w14:paraId="54D6A083" w14:textId="77777777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Dostępność wsparcia technicznego dla użytkowników w trybie 24/7.</w:t>
      </w:r>
    </w:p>
    <w:p w14:paraId="37142E1D" w14:textId="48D8AD69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System zgłoszeń serwisowych dostępny z poziomu aplikacji oraz strony internetowej.</w:t>
      </w:r>
    </w:p>
    <w:p w14:paraId="0AB20A24" w14:textId="744BA1EB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6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licencyjne</w:t>
      </w:r>
      <w:bookmarkEnd w:id="11"/>
    </w:p>
    <w:p w14:paraId="5E62A322" w14:textId="77777777" w:rsidR="00B85F5C" w:rsidRPr="00B85F5C" w:rsidRDefault="00B85F5C" w:rsidP="00B85F5C">
      <w:pPr>
        <w:pStyle w:val="Akapitzlist"/>
        <w:numPr>
          <w:ilvl w:val="0"/>
          <w:numId w:val="17"/>
        </w:numPr>
      </w:pPr>
      <w:r w:rsidRPr="00B85F5C">
        <w:t>Oprogramowanie korzysta z licencji typu MIT dla bibliotek zewnętrznych oraz komponentów open-</w:t>
      </w:r>
      <w:proofErr w:type="spellStart"/>
      <w:r w:rsidRPr="00B85F5C">
        <w:t>source</w:t>
      </w:r>
      <w:proofErr w:type="spellEnd"/>
      <w:r w:rsidRPr="00B85F5C">
        <w:t>.</w:t>
      </w:r>
    </w:p>
    <w:p w14:paraId="5FFF2E1D" w14:textId="091930E0" w:rsidR="00B85F5C" w:rsidRPr="00B85F5C" w:rsidRDefault="00B85F5C" w:rsidP="00B85F5C">
      <w:pPr>
        <w:pStyle w:val="Akapitzlist"/>
        <w:numPr>
          <w:ilvl w:val="0"/>
          <w:numId w:val="17"/>
        </w:numPr>
      </w:pPr>
      <w:r w:rsidRPr="00B85F5C">
        <w:t>Umowy licencyjne na użytkowanie aplikacji dostępne dla końcowych użytkowników przy pierwszym uruchomieniu aplikacji.</w:t>
      </w:r>
    </w:p>
    <w:p w14:paraId="6E6A057F" w14:textId="7624A998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6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dotyczące jakości modelowanego systemu</w:t>
      </w:r>
      <w:bookmarkEnd w:id="12"/>
    </w:p>
    <w:p w14:paraId="0EBACC4F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Wydajność:</w:t>
      </w:r>
      <w:r w:rsidRPr="00B85F5C">
        <w:t xml:space="preserve"> Aplikacja musi obsługiwać do 1000 jednoczesnych użytkowników bez utraty wydajności.</w:t>
      </w:r>
    </w:p>
    <w:p w14:paraId="2F3CAFC4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Niezawodność:</w:t>
      </w:r>
      <w:r w:rsidRPr="00B85F5C">
        <w:t xml:space="preserve"> Średni czas bezawaryjnej pracy (MTBF) powinien wynosić minimum 99,9% w skali miesiąca.</w:t>
      </w:r>
    </w:p>
    <w:p w14:paraId="462FCD77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Skalowalność:</w:t>
      </w:r>
      <w:r w:rsidRPr="00B85F5C">
        <w:t xml:space="preserve"> Aplikacja powinna być łatwo skalowalna w celu obsługi zwiększającej się liczby użytkowników.</w:t>
      </w:r>
    </w:p>
    <w:p w14:paraId="5209500E" w14:textId="32EA3136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Bezpieczeństwo:</w:t>
      </w:r>
      <w:r w:rsidRPr="00B85F5C">
        <w:t xml:space="preserve"> Dane użytkowników muszą być chronione przed nieautoryzowanym dostępem, a wszelkie dane wrażliwe muszą być przechowywane w formie zaszyfrowanej.</w:t>
      </w:r>
    </w:p>
    <w:p w14:paraId="496F30C2" w14:textId="7DF5D0A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6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Bazy danych</w:t>
      </w:r>
      <w:bookmarkEnd w:id="13"/>
    </w:p>
    <w:p w14:paraId="69DCFC60" w14:textId="77777777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 xml:space="preserve">Aplikacja będzie korzystała z relacyjnej bazy danych </w:t>
      </w:r>
      <w:proofErr w:type="spellStart"/>
      <w:r w:rsidRPr="00B85F5C">
        <w:t>PostgreSQL</w:t>
      </w:r>
      <w:proofErr w:type="spellEnd"/>
      <w:r w:rsidRPr="00B85F5C">
        <w:t xml:space="preserve"> do przechowywania danych użytkowników, gier, zamówień i płatności.</w:t>
      </w:r>
    </w:p>
    <w:p w14:paraId="61C53942" w14:textId="5DCACE2F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>Baza danych będzie zaprojektowana zgodnie z zasadami normalizacji, aby zapewnić spójność i integralność danych.</w:t>
      </w:r>
    </w:p>
    <w:p w14:paraId="4CE70F49" w14:textId="4334BD8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6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Stosowane standardy</w:t>
      </w:r>
      <w:bookmarkEnd w:id="14"/>
    </w:p>
    <w:p w14:paraId="722A6E6B" w14:textId="77777777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Zastosowanie wzorców projektowych takich jak MVC (Model-</w:t>
      </w:r>
      <w:proofErr w:type="spellStart"/>
      <w:r w:rsidRPr="00B85F5C">
        <w:t>View</w:t>
      </w:r>
      <w:proofErr w:type="spellEnd"/>
      <w:r w:rsidRPr="00B85F5C">
        <w:t>-Controller) oraz SOLID w strukturze kodu.</w:t>
      </w:r>
    </w:p>
    <w:p w14:paraId="1AE81386" w14:textId="60DAE2E6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Stosowanie standardów kodowania i przeglądów kodu, aby zapewnić wysoką jakość i łatwość konserwacji aplikacji.</w:t>
      </w:r>
    </w:p>
    <w:p w14:paraId="7B3F9E13" w14:textId="56FD8DC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6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Opis węzłów</w:t>
      </w:r>
      <w:bookmarkEnd w:id="15"/>
    </w:p>
    <w:p w14:paraId="209945EF" w14:textId="77777777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 xml:space="preserve">Aplikacja będzie działać w chmurze, korzystając z węzłów serwerowych skonfigurowanych w środowisku AWS (Amazon Web Services) lub </w:t>
      </w:r>
      <w:proofErr w:type="spellStart"/>
      <w:r w:rsidRPr="00B85F5C">
        <w:t>Azure</w:t>
      </w:r>
      <w:proofErr w:type="spellEnd"/>
      <w:r w:rsidRPr="00B85F5C">
        <w:t>.</w:t>
      </w:r>
    </w:p>
    <w:p w14:paraId="7F7DF3C1" w14:textId="331C97A0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>Konfiguracja węzłów obejmuje redundantne serwery aplikacji, serwery baz danych oraz systemy do zarządzania pamięcią podręczną i równoważenia obciążenia.</w:t>
      </w:r>
    </w:p>
    <w:sectPr w:rsidR="00B85F5C" w:rsidRPr="00B8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797"/>
    <w:multiLevelType w:val="hybridMultilevel"/>
    <w:tmpl w:val="F2B47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6D75"/>
    <w:multiLevelType w:val="hybridMultilevel"/>
    <w:tmpl w:val="0380BF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81E52"/>
    <w:multiLevelType w:val="hybridMultilevel"/>
    <w:tmpl w:val="BF3272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335AF"/>
    <w:multiLevelType w:val="hybridMultilevel"/>
    <w:tmpl w:val="5DD066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5533E"/>
    <w:multiLevelType w:val="hybridMultilevel"/>
    <w:tmpl w:val="68DA0A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5549B"/>
    <w:multiLevelType w:val="hybridMultilevel"/>
    <w:tmpl w:val="0832D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0EB"/>
    <w:multiLevelType w:val="hybridMultilevel"/>
    <w:tmpl w:val="C9A43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4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39766C"/>
    <w:multiLevelType w:val="hybridMultilevel"/>
    <w:tmpl w:val="DF8C91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16394"/>
    <w:multiLevelType w:val="hybridMultilevel"/>
    <w:tmpl w:val="DF1E1E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43946"/>
    <w:multiLevelType w:val="hybridMultilevel"/>
    <w:tmpl w:val="0900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01175"/>
    <w:multiLevelType w:val="hybridMultilevel"/>
    <w:tmpl w:val="E71E2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549A"/>
    <w:multiLevelType w:val="hybridMultilevel"/>
    <w:tmpl w:val="DF8CA1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D75D4"/>
    <w:multiLevelType w:val="hybridMultilevel"/>
    <w:tmpl w:val="10760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857C2"/>
    <w:multiLevelType w:val="hybridMultilevel"/>
    <w:tmpl w:val="E548A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512F94"/>
    <w:multiLevelType w:val="hybridMultilevel"/>
    <w:tmpl w:val="09B47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53A97"/>
    <w:multiLevelType w:val="hybridMultilevel"/>
    <w:tmpl w:val="E76A85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95B1E"/>
    <w:multiLevelType w:val="hybridMultilevel"/>
    <w:tmpl w:val="D2E2DC04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7B64ACE"/>
    <w:multiLevelType w:val="hybridMultilevel"/>
    <w:tmpl w:val="E5CE9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A3E7200"/>
    <w:multiLevelType w:val="hybridMultilevel"/>
    <w:tmpl w:val="91E69B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7014505">
    <w:abstractNumId w:val="16"/>
  </w:num>
  <w:num w:numId="2" w16cid:durableId="392504693">
    <w:abstractNumId w:val="13"/>
  </w:num>
  <w:num w:numId="3" w16cid:durableId="817266363">
    <w:abstractNumId w:val="7"/>
  </w:num>
  <w:num w:numId="4" w16cid:durableId="374697640">
    <w:abstractNumId w:val="6"/>
  </w:num>
  <w:num w:numId="5" w16cid:durableId="1570848167">
    <w:abstractNumId w:val="1"/>
  </w:num>
  <w:num w:numId="6" w16cid:durableId="1536112520">
    <w:abstractNumId w:val="4"/>
  </w:num>
  <w:num w:numId="7" w16cid:durableId="832992333">
    <w:abstractNumId w:val="2"/>
  </w:num>
  <w:num w:numId="8" w16cid:durableId="971595759">
    <w:abstractNumId w:val="9"/>
  </w:num>
  <w:num w:numId="9" w16cid:durableId="836459709">
    <w:abstractNumId w:val="20"/>
  </w:num>
  <w:num w:numId="10" w16cid:durableId="1356348639">
    <w:abstractNumId w:val="3"/>
  </w:num>
  <w:num w:numId="11" w16cid:durableId="251816505">
    <w:abstractNumId w:val="17"/>
  </w:num>
  <w:num w:numId="12" w16cid:durableId="477384009">
    <w:abstractNumId w:val="8"/>
  </w:num>
  <w:num w:numId="13" w16cid:durableId="1578977192">
    <w:abstractNumId w:val="12"/>
  </w:num>
  <w:num w:numId="14" w16cid:durableId="650016677">
    <w:abstractNumId w:val="11"/>
  </w:num>
  <w:num w:numId="15" w16cid:durableId="448279997">
    <w:abstractNumId w:val="15"/>
  </w:num>
  <w:num w:numId="16" w16cid:durableId="1110474613">
    <w:abstractNumId w:val="18"/>
  </w:num>
  <w:num w:numId="17" w16cid:durableId="1806895006">
    <w:abstractNumId w:val="19"/>
  </w:num>
  <w:num w:numId="18" w16cid:durableId="842087550">
    <w:abstractNumId w:val="0"/>
  </w:num>
  <w:num w:numId="19" w16cid:durableId="1481075469">
    <w:abstractNumId w:val="5"/>
  </w:num>
  <w:num w:numId="20" w16cid:durableId="1297955491">
    <w:abstractNumId w:val="14"/>
  </w:num>
  <w:num w:numId="21" w16cid:durableId="1388145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3"/>
    <w:rsid w:val="000C42D9"/>
    <w:rsid w:val="003A1AB3"/>
    <w:rsid w:val="003C5062"/>
    <w:rsid w:val="004E1847"/>
    <w:rsid w:val="005303DA"/>
    <w:rsid w:val="006829DA"/>
    <w:rsid w:val="007155FB"/>
    <w:rsid w:val="00910389"/>
    <w:rsid w:val="00AD7138"/>
    <w:rsid w:val="00B85F5C"/>
    <w:rsid w:val="00CC0672"/>
    <w:rsid w:val="00E16E71"/>
    <w:rsid w:val="00E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B734"/>
  <w15:chartTrackingRefBased/>
  <w15:docId w15:val="{CA50095C-D700-4057-9A1B-8FFB477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0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C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0672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CC067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16E71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E16E71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E16E71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Bezodstpw">
    <w:name w:val="No Spacing"/>
    <w:uiPriority w:val="1"/>
    <w:qFormat/>
    <w:rsid w:val="00E16E7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16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16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778A-FB81-43C7-8B34-95131FEC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954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9</cp:revision>
  <dcterms:created xsi:type="dcterms:W3CDTF">2024-06-08T17:39:00Z</dcterms:created>
  <dcterms:modified xsi:type="dcterms:W3CDTF">2024-08-26T15:33:00Z</dcterms:modified>
</cp:coreProperties>
</file>