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120"/>
        <w:jc w:val="center"/>
      </w:pPr>
      <w:r>
        <w:rPr>
          <w:rFonts w:ascii="Arial" w:cs="Arial" w:eastAsia="Arial" w:hAnsi="Arial"/>
          <w:b/>
          <w:bCs/>
          <w:color w:val="2E4057"/>
          <w:sz w:val="52"/>
          <w:szCs w:val="52"/>
        </w:rPr>
        <w:t xml:space="preserve">Literature Review Methodology</w:t>
      </w:r>
    </w:p>
    <w:p>
      <w:pPr>
        <w:spacing w:before="0" w:after="400"/>
        <w:jc w:val="center"/>
      </w:pPr>
      <w:r>
        <w:rPr>
          <w:rFonts w:ascii="Arial" w:cs="Arial" w:eastAsia="Arial" w:hAnsi="Arial"/>
          <w:i/>
          <w:iCs/>
          <w:color w:val="4A7C9B"/>
          <w:sz w:val="28"/>
          <w:szCs w:val="28"/>
        </w:rPr>
        <w:t xml:space="preserve">Final Recommendation, Rationale and Proposed Structure</w:t>
      </w:r>
    </w:p>
    <w:p>
      <w:pPr>
        <w:spacing w:before="0" w:after="80"/>
        <w:jc w:val="center"/>
      </w:pPr>
      <w:r>
        <w:rPr>
          <w:rFonts w:ascii="Arial" w:cs="Arial" w:eastAsia="Arial" w:hAnsi="Arial"/>
          <w:color w:val="555555"/>
          <w:sz w:val="22"/>
          <w:szCs w:val="22"/>
        </w:rPr>
        <w:t xml:space="preserve">Advanced Professional Practice — MOD006046</w:t>
      </w:r>
    </w:p>
    <w:p>
      <w:pPr>
        <w:spacing w:before="0" w:after="80"/>
        <w:jc w:val="center"/>
      </w:pPr>
      <w:r>
        <w:rPr>
          <w:rFonts w:ascii="Arial" w:cs="Arial" w:eastAsia="Arial" w:hAnsi="Arial"/>
          <w:color w:val="555555"/>
          <w:sz w:val="22"/>
          <w:szCs w:val="22"/>
        </w:rPr>
        <w:t xml:space="preserve">Patrick Thompson — 2433678</w:t>
      </w:r>
    </w:p>
    <w:p>
      <w:pPr>
        <w:spacing w:before="0" w:after="600"/>
        <w:jc w:val="center"/>
      </w:pPr>
      <w:r>
        <w:rPr>
          <w:rFonts w:ascii="Arial" w:cs="Arial" w:eastAsia="Arial" w:hAnsi="Arial"/>
          <w:color w:val="555555"/>
          <w:sz w:val="22"/>
          <w:szCs w:val="22"/>
        </w:rPr>
        <w:t xml:space="preserve">February 2026</w:t>
      </w:r>
    </w:p>
    <w:p>
      <w:pPr>
        <w:pBdr>
          <w:bottom w:val="single" w:color="2E4057" w:sz="6" w:space="1"/>
        </w:pBdr>
        <w:spacing w:before="160" w:after="160"/>
      </w:pPr>
    </w:p>
    <w:p>
      <w:pPr>
        <w:spacing w:before="0" w:after="60"/>
      </w:pPr>
      <w:r>
        <w:t xml:space="preserve"/>
      </w:r>
    </w:p>
    <w:p>
      <w:pPr>
        <w:pStyle w:val="Heading1"/>
        <w:spacing w:before="360" w:after="180"/>
      </w:pPr>
      <w:r>
        <w:rPr>
          <w:rFonts w:ascii="Arial" w:cs="Arial" w:eastAsia="Arial" w:hAnsi="Arial"/>
          <w:b/>
          <w:bCs/>
          <w:sz w:val="32"/>
          <w:szCs w:val="32"/>
        </w:rPr>
        <w:t xml:space="preserve">1. Final Recommendation</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sz w:val="22"/>
                <w:szCs w:val="22"/>
              </w:rPr>
              <w:t xml:space="preserve">Recommended Methodology</w:t>
            </w:r>
          </w:p>
          <w:p>
            <w:pPr>
              <w:spacing w:before="0" w:after="0"/>
              <w:jc w:val="both"/>
            </w:pPr>
            <w:r>
              <w:rPr>
                <w:rFonts w:ascii="Arial" w:cs="Arial" w:eastAsia="Arial" w:hAnsi="Arial"/>
                <w:sz w:val="22"/>
                <w:szCs w:val="22"/>
              </w:rPr>
              <w:t xml:space="preserve">Systematic Integrative Literature Review — a theory-building, socio-technical synthesis conducted using transparent and auditable search procedures.</w:t>
            </w:r>
          </w:p>
        </w:tc>
      </w:tr>
    </w:tbl>
    <w:p>
      <w:pPr>
        <w:spacing w:before="0" w:after="60"/>
      </w:pPr>
      <w:r>
        <w:t xml:space="preserve"/>
      </w:r>
    </w:p>
    <w:p>
      <w:pPr>
        <w:spacing w:before="80" w:after="120"/>
        <w:jc w:val="both"/>
      </w:pPr>
      <w:r>
        <w:rPr>
          <w:rFonts w:ascii="Arial" w:cs="Arial" w:eastAsia="Arial" w:hAnsi="Arial"/>
          <w:sz w:val="22"/>
          <w:szCs w:val="22"/>
        </w:rPr>
        <w:t xml:space="preserve">This recommendation is grounded in a synthesis of three sources: the reflective submission (Advanced Professional Practice, MOD006046), two LLM-generated methodology deliberations, and a subsequent ChatGPT assessment of the same question. All three converge on the same conclusion. The confidence that convergence provides is strengthened rather than weakened by the fact that each source approaches the question from a different angle — experiential, deliberative, and comparative respectively.</w:t>
      </w:r>
    </w:p>
    <w:p>
      <w:pPr>
        <w:spacing w:before="80" w:after="120"/>
        <w:jc w:val="both"/>
      </w:pPr>
      <w:r>
        <w:rPr>
          <w:rFonts w:ascii="Arial" w:cs="Arial" w:eastAsia="Arial" w:hAnsi="Arial"/>
          <w:sz w:val="22"/>
          <w:szCs w:val="22"/>
        </w:rPr>
        <w:t xml:space="preserve">The methodology is integrative in design and purpose, and systematic in procedure. These are not competing characteristics. They are complementary requirements imposed by the nature of your research problem. The design is integrative because the problem is interdisciplinary and the goal is framework construction. The procedure is systematic because the ethical and professional stakes of this research demand auditability that a narrative or purely purposive approach cannot provide.</w:t>
      </w:r>
    </w:p>
    <w:p>
      <w:pPr>
        <w:pBdr>
          <w:bottom w:val="single" w:color="2E4057" w:sz="6" w:space="1"/>
        </w:pBdr>
        <w:spacing w:before="160" w:after="160"/>
      </w:pPr>
    </w:p>
    <w:p>
      <w:pPr>
        <w:pStyle w:val="Heading1"/>
        <w:spacing w:before="360" w:after="180"/>
      </w:pPr>
      <w:r>
        <w:rPr>
          <w:rFonts w:ascii="Arial" w:cs="Arial" w:eastAsia="Arial" w:hAnsi="Arial"/>
          <w:b/>
          <w:bCs/>
          <w:sz w:val="32"/>
          <w:szCs w:val="32"/>
        </w:rPr>
        <w:t xml:space="preserve">2. Why Alternative Methodologies Are Insufficient</w:t>
      </w:r>
    </w:p>
    <w:p>
      <w:pPr>
        <w:pStyle w:val="Heading2"/>
        <w:spacing w:before="280" w:after="120"/>
      </w:pPr>
      <w:r>
        <w:rPr>
          <w:rFonts w:ascii="Arial" w:cs="Arial" w:eastAsia="Arial" w:hAnsi="Arial"/>
          <w:b/>
          <w:bCs/>
          <w:sz w:val="26"/>
          <w:szCs w:val="26"/>
        </w:rPr>
        <w:t xml:space="preserve">2.1 Why Not a Pure Systematic Review</w:t>
      </w:r>
    </w:p>
    <w:p>
      <w:pPr>
        <w:spacing w:before="80" w:after="120"/>
        <w:jc w:val="both"/>
      </w:pPr>
      <w:r>
        <w:rPr>
          <w:rFonts w:ascii="Arial" w:cs="Arial" w:eastAsia="Arial" w:hAnsi="Arial"/>
          <w:sz w:val="22"/>
          <w:szCs w:val="22"/>
        </w:rPr>
        <w:t xml:space="preserve">A traditional systematic review is designed to aggregate comparable evidence from methodologically homogenous studies, typically to evaluate the effectiveness of interventions. It works best when the question is narrow and the evidence base is epistemologically consistent. Your research problem fails all three preconditions.</w:t>
      </w:r>
    </w:p>
    <w:p>
      <w:pPr>
        <w:spacing w:before="80" w:after="120"/>
        <w:jc w:val="both"/>
      </w:pPr>
      <w:r>
        <w:rPr>
          <w:rFonts w:ascii="Arial" w:cs="Arial" w:eastAsia="Arial" w:hAnsi="Arial"/>
          <w:sz w:val="22"/>
          <w:szCs w:val="22"/>
        </w:rPr>
        <w:t xml:space="preserve">The four domains your research spans — behavioural criminology, computational NLP, organisational change and AI governance — use incompatible epistemologies, different outcome measures, and different definitions of evidence. Forcing them into a single systematic synthesis would either fragment the intellectual architecture of the review or require the artificial exclusion of literature that is indispensable to answering your research questions. A pure systematic review would answer a narrower question than the one you are actually asking.</w:t>
      </w:r>
    </w:p>
    <w:p>
      <w:pPr>
        <w:pStyle w:val="Heading2"/>
        <w:spacing w:before="280" w:after="120"/>
      </w:pPr>
      <w:r>
        <w:rPr>
          <w:rFonts w:ascii="Arial" w:cs="Arial" w:eastAsia="Arial" w:hAnsi="Arial"/>
          <w:b/>
          <w:bCs/>
          <w:sz w:val="26"/>
          <w:szCs w:val="26"/>
        </w:rPr>
        <w:t xml:space="preserve">2.2 Why Not a Scoping Review</w:t>
      </w:r>
    </w:p>
    <w:p>
      <w:pPr>
        <w:spacing w:before="80" w:after="120"/>
        <w:jc w:val="both"/>
      </w:pPr>
      <w:r>
        <w:rPr>
          <w:rFonts w:ascii="Arial" w:cs="Arial" w:eastAsia="Arial" w:hAnsi="Arial"/>
          <w:sz w:val="22"/>
          <w:szCs w:val="22"/>
        </w:rPr>
        <w:t xml:space="preserve">Scoping reviews are designed for emergent fields where concepts are undefined, the evidence base is thin, and the purpose is mapping rather than synthesis. This accurately describes none of your literature domains. The NLP literature is technically extensive and methodologically mature. The grooming and contact offending literature is well-established. The AI implementation literature in public services is growing rapidly. The ethical AI governance literature is theoretically rich.</w:t>
      </w:r>
    </w:p>
    <w:p>
      <w:pPr>
        <w:spacing w:before="80" w:after="120"/>
        <w:jc w:val="both"/>
      </w:pPr>
      <w:r>
        <w:rPr>
          <w:rFonts w:ascii="Arial" w:cs="Arial" w:eastAsia="Arial" w:hAnsi="Arial"/>
          <w:sz w:val="22"/>
          <w:szCs w:val="22"/>
        </w:rPr>
        <w:t xml:space="preserve">The problem you face is not a shortage of literature. It is a shortage of integration across literature domains that currently exist in disciplinary silos. A scoping review would map those silos. What you need is to bridge them. These are fundamentally different intellectual tasks, and the methodology must reflect that distinction.</w:t>
      </w:r>
    </w:p>
    <w:p>
      <w:pPr>
        <w:pStyle w:val="Heading2"/>
        <w:spacing w:before="280" w:after="120"/>
      </w:pPr>
      <w:r>
        <w:rPr>
          <w:rFonts w:ascii="Arial" w:cs="Arial" w:eastAsia="Arial" w:hAnsi="Arial"/>
          <w:b/>
          <w:bCs/>
          <w:sz w:val="26"/>
          <w:szCs w:val="26"/>
        </w:rPr>
        <w:t xml:space="preserve">2.3 Why Not a Narrative Review</w:t>
      </w:r>
    </w:p>
    <w:p>
      <w:pPr>
        <w:spacing w:before="80" w:after="120"/>
        <w:jc w:val="both"/>
      </w:pPr>
      <w:r>
        <w:rPr>
          <w:rFonts w:ascii="Arial" w:cs="Arial" w:eastAsia="Arial" w:hAnsi="Arial"/>
          <w:sz w:val="22"/>
          <w:szCs w:val="22"/>
        </w:rPr>
        <w:t xml:space="preserve">A narrative review lacks the procedural transparency that your research context demands. Work touching on child protection, algorithmic decision-making in criminal justice, and live policing operations will face scrutiny from ethics panels, examiners, and potentially from legal and professional bodies. A methodology that cannot demonstrate how literature was found, screened, and selected is not defensible in that environment, regardless of the quality of the synthesis it produces.</w:t>
      </w:r>
    </w:p>
    <w:p>
      <w:pPr>
        <w:pBdr>
          <w:bottom w:val="single" w:color="2E4057" w:sz="6" w:space="1"/>
        </w:pBdr>
        <w:spacing w:before="160" w:after="160"/>
      </w:pPr>
    </w:p>
    <w:p>
      <w:pPr>
        <w:pStyle w:val="Heading1"/>
        <w:spacing w:before="360" w:after="180"/>
      </w:pPr>
      <w:r>
        <w:rPr>
          <w:rFonts w:ascii="Arial" w:cs="Arial" w:eastAsia="Arial" w:hAnsi="Arial"/>
          <w:b/>
          <w:bCs/>
          <w:sz w:val="32"/>
          <w:szCs w:val="32"/>
        </w:rPr>
        <w:t xml:space="preserve">3. Why the Systematic Integrative Review Is Correct</w:t>
      </w:r>
    </w:p>
    <w:p>
      <w:pPr>
        <w:pStyle w:val="Heading2"/>
        <w:spacing w:before="280" w:after="120"/>
      </w:pPr>
      <w:r>
        <w:rPr>
          <w:rFonts w:ascii="Arial" w:cs="Arial" w:eastAsia="Arial" w:hAnsi="Arial"/>
          <w:b/>
          <w:bCs/>
          <w:sz w:val="26"/>
          <w:szCs w:val="26"/>
        </w:rPr>
        <w:t xml:space="preserve">3.1 The Problem Is Interdisciplinary and Architecturally Complex</w:t>
      </w:r>
    </w:p>
    <w:p>
      <w:pPr>
        <w:spacing w:before="80" w:after="120"/>
        <w:jc w:val="both"/>
      </w:pPr>
      <w:r>
        <w:rPr>
          <w:rFonts w:ascii="Arial" w:cs="Arial" w:eastAsia="Arial" w:hAnsi="Arial"/>
          <w:sz w:val="22"/>
          <w:szCs w:val="22"/>
        </w:rPr>
        <w:t xml:space="preserve">Your refined research problem — how NLP methods can be developed and operationalised to identify precursors of contact sex offending within existing policing constraints — is a socio-technical systems question. It cannot be answered by any single disciplinary tradition. It requires behavioural theory to establish what linguistic precursors exist, computational modelling capability to determine how they can be detected, organisational analysis to understand how detection tools can be implemented, and governance frameworks to ensure that implementation does not undermine legal legitimacy or public trust.</w:t>
      </w:r>
    </w:p>
    <w:p>
      <w:pPr>
        <w:spacing w:before="80" w:after="120"/>
        <w:jc w:val="both"/>
      </w:pPr>
      <w:r>
        <w:rPr>
          <w:rFonts w:ascii="Arial" w:cs="Arial" w:eastAsia="Arial" w:hAnsi="Arial"/>
          <w:sz w:val="22"/>
          <w:szCs w:val="22"/>
        </w:rPr>
        <w:t xml:space="preserve">An integrative review is the only methodology designed to synthesise across domains of this kind, producing conceptual output — a framework — that does not currently exist in the literature. That is precisely what Torraco's theory-building integrative review model is designed to achieve.</w:t>
      </w:r>
    </w:p>
    <w:p>
      <w:pPr>
        <w:pStyle w:val="Heading2"/>
        <w:spacing w:before="280" w:after="120"/>
      </w:pPr>
      <w:r>
        <w:rPr>
          <w:rFonts w:ascii="Arial" w:cs="Arial" w:eastAsia="Arial" w:hAnsi="Arial"/>
          <w:b/>
          <w:bCs/>
          <w:sz w:val="26"/>
          <w:szCs w:val="26"/>
        </w:rPr>
        <w:t xml:space="preserve">3.2 The Objective Is Framework Construction, Not Evidence Aggregation</w:t>
      </w:r>
    </w:p>
    <w:p>
      <w:pPr>
        <w:spacing w:before="80" w:after="120"/>
        <w:jc w:val="both"/>
      </w:pPr>
      <w:r>
        <w:rPr>
          <w:rFonts w:ascii="Arial" w:cs="Arial" w:eastAsia="Arial" w:hAnsi="Arial"/>
          <w:sz w:val="22"/>
          <w:szCs w:val="22"/>
        </w:rPr>
        <w:t xml:space="preserve">This is the most important distinguishing point. Your literature review is not asking "what does the evidence show about X?" It is asking "what conceptual architecture can unify these domains into a framework for operationalising NLP within policing?" That is an architectural and generative task, not an evaluative one. The integrative review is the correct methodological vehicle because it is explicitly designed to produce new conceptual frameworks from the synthesis of existing knowledge.</w:t>
      </w:r>
    </w:p>
    <w:p>
      <w:pPr>
        <w:spacing w:before="80" w:after="120"/>
        <w:jc w:val="both"/>
      </w:pPr>
      <w:r>
        <w:rPr>
          <w:rFonts w:ascii="Arial" w:cs="Arial" w:eastAsia="Arial" w:hAnsi="Arial"/>
          <w:sz w:val="22"/>
          <w:szCs w:val="22"/>
        </w:rPr>
        <w:t xml:space="preserve">The LLM deliberations articulate this well: the review is not descriptive — it is architectural. The ChatGPT response adds useful precision by noting that this is a theory-building review in Torraco's sense, where the product of the review is a model that does not yet exist in integrated form, rather than a summary of what models already exist.</w:t>
      </w:r>
    </w:p>
    <w:p>
      <w:pPr>
        <w:pStyle w:val="Heading2"/>
        <w:spacing w:before="280" w:after="120"/>
      </w:pPr>
      <w:r>
        <w:rPr>
          <w:rFonts w:ascii="Arial" w:cs="Arial" w:eastAsia="Arial" w:hAnsi="Arial"/>
          <w:b/>
          <w:bCs/>
          <w:sz w:val="26"/>
          <w:szCs w:val="26"/>
        </w:rPr>
        <w:t xml:space="preserve">3.3 The Systematic Procedure Disciplines the Solutionism Bias</w:t>
      </w:r>
    </w:p>
    <w:p>
      <w:pPr>
        <w:spacing w:before="80" w:after="120"/>
        <w:jc w:val="both"/>
      </w:pPr>
      <w:r>
        <w:rPr>
          <w:rFonts w:ascii="Arial" w:cs="Arial" w:eastAsia="Arial" w:hAnsi="Arial"/>
          <w:sz w:val="22"/>
          <w:szCs w:val="22"/>
        </w:rPr>
        <w:t xml:space="preserve">Your reflective submission identifies a personal tendency towards technological solutionism and a frustration with policing organisational politics. Both biases risk distorting the literature review if left unmanaged. A systematic integrative methodology addresses both directly.</w:t>
      </w:r>
    </w:p>
    <w:p>
      <w:pPr>
        <w:spacing w:before="80" w:after="120"/>
        <w:jc w:val="both"/>
      </w:pPr>
      <w:r>
        <w:rPr>
          <w:rFonts w:ascii="Arial" w:cs="Arial" w:eastAsia="Arial" w:hAnsi="Arial"/>
          <w:sz w:val="22"/>
          <w:szCs w:val="22"/>
        </w:rPr>
        <w:t xml:space="preserve">Requiring a structured search across all four conceptual domains — including organisational mediation and governance — rather than allowing purposive selection of technically-focused literature prevents the review from becoming de facto a technical literature review with organisational considerations added as an afterthought. The systematic procedure makes it structurally impossible to weight the computational domain disproportionately, because inclusion and exclusion criteria apply uniformly across all domains.</w:t>
      </w:r>
    </w:p>
    <w:p>
      <w:pPr>
        <w:spacing w:before="80" w:after="120"/>
        <w:jc w:val="both"/>
      </w:pPr>
      <w:r>
        <w:rPr>
          <w:rFonts w:ascii="Arial" w:cs="Arial" w:eastAsia="Arial" w:hAnsi="Arial"/>
          <w:sz w:val="22"/>
          <w:szCs w:val="22"/>
        </w:rPr>
        <w:t xml:space="preserve">This is not a trivial methodological consideration. At doctoral level, the methodology must not only be correct for the problem — it must also be defensible as a check on the researcher's acknowledged biases. The systematic integrative design serves both functions simultaneously.</w:t>
      </w:r>
    </w:p>
    <w:p>
      <w:pPr>
        <w:pStyle w:val="Heading2"/>
        <w:spacing w:before="280" w:after="120"/>
      </w:pPr>
      <w:r>
        <w:rPr>
          <w:rFonts w:ascii="Arial" w:cs="Arial" w:eastAsia="Arial" w:hAnsi="Arial"/>
          <w:b/>
          <w:bCs/>
          <w:sz w:val="26"/>
          <w:szCs w:val="26"/>
        </w:rPr>
        <w:t xml:space="preserve">3.4 The Ethical and Professional Stakes Require Auditability</w:t>
      </w:r>
    </w:p>
    <w:p>
      <w:pPr>
        <w:spacing w:before="80" w:after="120"/>
        <w:jc w:val="both"/>
      </w:pPr>
      <w:r>
        <w:rPr>
          <w:rFonts w:ascii="Arial" w:cs="Arial" w:eastAsia="Arial" w:hAnsi="Arial"/>
          <w:sz w:val="22"/>
          <w:szCs w:val="22"/>
        </w:rPr>
        <w:t xml:space="preserve">Research in the child sexual exploitation and AI governance space will face scrutiny that most academic research does not. Ethics committees, doctoral examiners, and — once the research moves towards operational deployment — legal and professional oversight bodies will all expect to see a transparent account of how the evidence base was constructed. Systematic search and screening procedures, documented in a PRISMA-informed protocol, provide that account.</w:t>
      </w:r>
    </w:p>
    <w:p>
      <w:pPr>
        <w:spacing w:before="80" w:after="120"/>
        <w:jc w:val="both"/>
      </w:pPr>
      <w:r>
        <w:rPr>
          <w:rFonts w:ascii="Arial" w:cs="Arial" w:eastAsia="Arial" w:hAnsi="Arial"/>
          <w:sz w:val="22"/>
          <w:szCs w:val="22"/>
        </w:rPr>
        <w:t xml:space="preserve">It is important to note, however, that PRISMA should inform the transparency of your search process rather than determine the structure of your synthesis. PRISMA was developed for systematic reviews of clinical interventions and does not map perfectly onto integrative theory-building work. The methodological anchors for your synthesis should be Torraco (2005, revised 2016) and Whittemore and Knafl (2005), with PRISMA adapted as a reporting tool for the search process rather than adopted wholesale as a methodological framework.</w:t>
      </w:r>
    </w:p>
    <w:p>
      <w:pPr>
        <w:pBdr>
          <w:bottom w:val="single" w:color="2E4057" w:sz="6" w:space="1"/>
        </w:pBdr>
        <w:spacing w:before="160" w:after="160"/>
      </w:pPr>
    </w:p>
    <w:p>
      <w:pPr>
        <w:pStyle w:val="Heading1"/>
        <w:spacing w:before="360" w:after="180"/>
      </w:pPr>
      <w:r>
        <w:rPr>
          <w:rFonts w:ascii="Arial" w:cs="Arial" w:eastAsia="Arial" w:hAnsi="Arial"/>
          <w:b/>
          <w:bCs/>
          <w:sz w:val="32"/>
          <w:szCs w:val="32"/>
        </w:rPr>
        <w:t xml:space="preserve">4. Proposed Structure and Method</w:t>
      </w:r>
    </w:p>
    <w:p>
      <w:pPr>
        <w:pStyle w:val="Heading2"/>
        <w:spacing w:before="280" w:after="120"/>
      </w:pPr>
      <w:r>
        <w:rPr>
          <w:rFonts w:ascii="Arial" w:cs="Arial" w:eastAsia="Arial" w:hAnsi="Arial"/>
          <w:b/>
          <w:bCs/>
          <w:sz w:val="26"/>
          <w:szCs w:val="26"/>
        </w:rPr>
        <w:t xml:space="preserve">4.1 Conceptual Architecture</w:t>
      </w:r>
    </w:p>
    <w:p>
      <w:pPr>
        <w:spacing w:before="80" w:after="120"/>
        <w:jc w:val="both"/>
      </w:pPr>
      <w:r>
        <w:rPr>
          <w:rFonts w:ascii="Arial" w:cs="Arial" w:eastAsia="Arial" w:hAnsi="Arial"/>
          <w:sz w:val="22"/>
          <w:szCs w:val="22"/>
        </w:rPr>
        <w:t xml:space="preserve">The review is structured around four integrated conceptual domains, reflecting the inherent architecture of the research problem. These domains are not independent literature reviews conducted in parallel — they are analytically interdependent, and the synthesis explicitly examines how tensions and dependencies between them shape the operationalisation question.</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300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Domain</w:t>
            </w:r>
          </w:p>
        </w:tc>
        <w:tc>
          <w:tcPr>
            <w:tcW w:type="dxa" w:w="3009"/>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Core Literature Focus</w:t>
            </w:r>
          </w:p>
        </w:tc>
        <w:tc>
          <w:tcPr>
            <w:tcW w:type="dxa" w:w="300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Key Analytical Question</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1. Behavioural and Linguistic</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Grooming trajectories, escalation markers, manipulation language, victim-offender interaction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What linguistic patterns reliably precede contact offending, and how predictive is the existing evidence?</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2. Computational (NLP)</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Sequential modelling, classification, risk scoring, explainability vs performance trade-offs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Which NLP methods offer the best combination of detection capability and operational explainability?</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3. Organisational (Policing)</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Tacit vs explicit knowledge, AI adoption in public sector, cultural resistance, technical literacy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Under what organisational conditions can NLP tools be adopted, and what implementation strategies address the identified barriers?</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4. Ethical and Governance</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Algorithmic bias, data protection, proportionality, presumption of innocence, regulatory frameworks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What governance conditions are necessary for deployment to be legally and ethically legitimate?</w:t>
            </w:r>
          </w:p>
        </w:tc>
      </w:tr>
    </w:tbl>
    <w:p>
      <w:pPr>
        <w:spacing w:before="0" w:after="60"/>
      </w:pPr>
      <w:r>
        <w:t xml:space="preserve"/>
      </w:r>
    </w:p>
    <w:p>
      <w:pPr>
        <w:spacing w:before="80" w:after="120"/>
        <w:jc w:val="both"/>
      </w:pPr>
      <w:r>
        <w:rPr>
          <w:rFonts w:ascii="Arial" w:cs="Arial" w:eastAsia="Arial" w:hAnsi="Arial"/>
          <w:sz w:val="22"/>
          <w:szCs w:val="22"/>
        </w:rPr>
        <w:t xml:space="preserve">The integrating construct across all four domains is operationalisability — the conditions under which an NLP solution can be not only technically valid but organisationally embedded and ethically deployable within UK policing. This construct does not exist in integrated form in the current literature, which is precisely what justifies the integrative synthesis.</w:t>
      </w:r>
    </w:p>
    <w:p>
      <w:pPr>
        <w:pStyle w:val="Heading2"/>
        <w:spacing w:before="280" w:after="120"/>
      </w:pPr>
      <w:r>
        <w:rPr>
          <w:rFonts w:ascii="Arial" w:cs="Arial" w:eastAsia="Arial" w:hAnsi="Arial"/>
          <w:b/>
          <w:bCs/>
          <w:sz w:val="26"/>
          <w:szCs w:val="26"/>
        </w:rPr>
        <w:t xml:space="preserve">4.2 Systematic Search Protocol</w:t>
      </w:r>
    </w:p>
    <w:p>
      <w:pPr>
        <w:spacing w:before="80" w:after="120"/>
        <w:jc w:val="both"/>
      </w:pPr>
      <w:r>
        <w:rPr>
          <w:rFonts w:ascii="Arial" w:cs="Arial" w:eastAsia="Arial" w:hAnsi="Arial"/>
          <w:sz w:val="22"/>
          <w:szCs w:val="22"/>
        </w:rPr>
        <w:t xml:space="preserve">Systematic search procedures will be applied consistently across all four domains. The following outlines the proposed search architecture.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Search Element</w:t>
            </w:r>
          </w:p>
        </w:tc>
        <w:tc>
          <w:tcPr>
            <w:tcW w:type="dxa" w:w="451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Specification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Databases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PsycINFO, Criminology Abstracts, ACM Digital Library, IEEE Xplore, Web of Science, SCOPUS, Google Scholar (supplementary)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Grey Literature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Home Office, College of Policing, NPCC, HMICFRS, NHS AI repository, Alan Turing Institute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Date Range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No lower limit for foundational theory; 2015–present for computational and governance literature (given pace of change in NLP)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Language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English only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Screening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Title and abstract screening by researcher; full-text review against inclusion/exclusion criteria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Documentation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PRISMA-informed flow diagram recording records identified, screened, excluded, and included at each stage</w:t>
            </w:r>
          </w:p>
        </w:tc>
      </w:tr>
    </w:tbl>
    <w:p>
      <w:pPr>
        <w:spacing w:before="0" w:after="60"/>
      </w:pPr>
      <w:r>
        <w:t xml:space="preserve"/>
      </w:r>
    </w:p>
    <w:p>
      <w:pPr>
        <w:pStyle w:val="Heading3"/>
        <w:spacing w:before="200" w:after="100"/>
      </w:pPr>
      <w:r>
        <w:rPr>
          <w:rFonts w:ascii="Arial" w:cs="Arial" w:eastAsia="Arial" w:hAnsi="Arial"/>
          <w:b/>
          <w:bCs/>
          <w:i/>
          <w:iCs/>
          <w:sz w:val="24"/>
          <w:szCs w:val="24"/>
        </w:rPr>
        <w:t xml:space="preserve">Indicative Search Strings by Domain</w:t>
      </w:r>
    </w:p>
    <w:p>
      <w:pPr>
        <w:spacing w:before="80" w:after="120"/>
        <w:jc w:val="both"/>
      </w:pPr>
      <w:r>
        <w:rPr>
          <w:rFonts w:ascii="Arial" w:cs="Arial" w:eastAsia="Arial" w:hAnsi="Arial"/>
          <w:sz w:val="22"/>
          <w:szCs w:val="22"/>
        </w:rPr>
        <w:t xml:space="preserve">Domain 1 (Behavioural): "online grooming" AND ("contact offending" OR "escalation" OR "linguistic"); "child sexual exploitation" AND "communication patterns"; "grooming trajectory" OR "offence progression"</w:t>
      </w:r>
    </w:p>
    <w:p>
      <w:pPr>
        <w:spacing w:before="80" w:after="120"/>
        <w:jc w:val="both"/>
      </w:pPr>
      <w:r>
        <w:rPr>
          <w:rFonts w:ascii="Arial" w:cs="Arial" w:eastAsia="Arial" w:hAnsi="Arial"/>
          <w:sz w:val="22"/>
          <w:szCs w:val="22"/>
        </w:rPr>
        <w:t xml:space="preserve">Domain 2 (Computational): "natural language processing" AND ("grooming detection" OR "risk classification" OR "online predator"); "explainable AI" AND "criminal justice"; "sequence modelling" AND "conversation analysis"</w:t>
      </w:r>
    </w:p>
    <w:p>
      <w:pPr>
        <w:spacing w:before="80" w:after="120"/>
        <w:jc w:val="both"/>
      </w:pPr>
      <w:r>
        <w:rPr>
          <w:rFonts w:ascii="Arial" w:cs="Arial" w:eastAsia="Arial" w:hAnsi="Arial"/>
          <w:sz w:val="22"/>
          <w:szCs w:val="22"/>
        </w:rPr>
        <w:t xml:space="preserve">Domain 3 (Organisational): "AI adoption" AND "policing"; "technology implementation" AND "police culture"; "organisational change" AND "public sector AI"; "technical literacy" AND "law enforcement"</w:t>
      </w:r>
    </w:p>
    <w:p>
      <w:pPr>
        <w:spacing w:before="80" w:after="120"/>
        <w:jc w:val="both"/>
      </w:pPr>
      <w:r>
        <w:rPr>
          <w:rFonts w:ascii="Arial" w:cs="Arial" w:eastAsia="Arial" w:hAnsi="Arial"/>
          <w:sz w:val="22"/>
          <w:szCs w:val="22"/>
        </w:rPr>
        <w:t xml:space="preserve">Domain 4 (Governance): "algorithmic accountability" AND policing; "AI bias" AND "criminal justice"; "data protection" AND "law enforcement AI"; "proportionality" AND "predictive policing"</w:t>
      </w:r>
    </w:p>
    <w:p>
      <w:pPr>
        <w:pStyle w:val="Heading2"/>
        <w:spacing w:before="280" w:after="120"/>
      </w:pPr>
      <w:r>
        <w:rPr>
          <w:rFonts w:ascii="Arial" w:cs="Arial" w:eastAsia="Arial" w:hAnsi="Arial"/>
          <w:b/>
          <w:bCs/>
          <w:sz w:val="26"/>
          <w:szCs w:val="26"/>
        </w:rPr>
        <w:t xml:space="preserve">4.3 Inclusion and Exclusion Criteria</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Inclusion Criteria</w:t>
            </w:r>
          </w:p>
        </w:tc>
        <w:tc>
          <w:tcPr>
            <w:tcW w:type="dxa" w:w="451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before="0" w:after="0"/>
            </w:pPr>
            <w:r>
              <w:rPr>
                <w:rFonts w:ascii="Arial" w:cs="Arial" w:eastAsia="Arial" w:hAnsi="Arial"/>
                <w:b/>
                <w:bCs/>
                <w:color w:val="FFFFFF"/>
                <w:sz w:val="22"/>
                <w:szCs w:val="22"/>
              </w:rPr>
              <w:t xml:space="preserve">Exclusion Criteria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Addresses at least one of the four conceptual domains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Purely clinical or non-policing public sector AI (unless directly transferable)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Peer-reviewed, grey literature from recognised bodies, or practice reports with methodological transparency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Opinion pieces without evidential or theoretical grounding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Qualitative, quantitative, technical, or theoretical in design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Studies focused exclusively on CSAM detection without relevance to contact offence prediction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Relevant to UK policing context or directly transferable from comparable jurisdictions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Pre-2000 (except foundational theory in criminology or NLP)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Available in full text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2"/>
                <w:szCs w:val="22"/>
              </w:rPr>
              <w:t xml:space="preserve">Duplicate records</w:t>
            </w:r>
          </w:p>
        </w:tc>
      </w:tr>
    </w:tbl>
    <w:p>
      <w:pPr>
        <w:spacing w:before="0" w:after="60"/>
      </w:pPr>
      <w:r>
        <w:t xml:space="preserve"/>
      </w:r>
    </w:p>
    <w:p>
      <w:pPr>
        <w:pStyle w:val="Heading2"/>
        <w:spacing w:before="280" w:after="120"/>
      </w:pPr>
      <w:r>
        <w:rPr>
          <w:rFonts w:ascii="Arial" w:cs="Arial" w:eastAsia="Arial" w:hAnsi="Arial"/>
          <w:b/>
          <w:bCs/>
          <w:sz w:val="26"/>
          <w:szCs w:val="26"/>
        </w:rPr>
        <w:t xml:space="preserve">4.4 Synthesis Process</w:t>
      </w:r>
    </w:p>
    <w:p>
      <w:pPr>
        <w:spacing w:before="80" w:after="120"/>
        <w:jc w:val="both"/>
      </w:pPr>
      <w:r>
        <w:rPr>
          <w:rFonts w:ascii="Arial" w:cs="Arial" w:eastAsia="Arial" w:hAnsi="Arial"/>
          <w:sz w:val="22"/>
          <w:szCs w:val="22"/>
        </w:rPr>
        <w:t xml:space="preserve">The synthesis will proceed in three stages, following Torraco's integrative review model.</w:t>
      </w:r>
    </w:p>
    <w:p>
      <w:pPr>
        <w:pStyle w:val="ListParagraph"/>
        <w:numPr>
          <w:ilvl w:val="0"/>
          <w:numId w:val="2"/>
        </w:numPr>
        <w:spacing w:before="60" w:after="60"/>
      </w:pPr>
      <w:r>
        <w:rPr>
          <w:rFonts w:ascii="Arial" w:cs="Arial" w:eastAsia="Arial" w:hAnsi="Arial"/>
          <w:sz w:val="22"/>
          <w:szCs w:val="22"/>
        </w:rPr>
        <w:t xml:space="preserve">Domain-level thematic synthesis. Within each of the four domains, key theories, empirical findings, methodological limitations and operational gaps will be identified. This stage produces domain summaries that stand independently but are explicitly structured to enable cross-domain comparison.</w:t>
      </w:r>
    </w:p>
    <w:p>
      <w:pPr>
        <w:pStyle w:val="ListParagraph"/>
        <w:numPr>
          <w:ilvl w:val="0"/>
          <w:numId w:val="2"/>
        </w:numPr>
        <w:spacing w:before="60" w:after="60"/>
      </w:pPr>
      <w:r>
        <w:rPr>
          <w:rFonts w:ascii="Arial" w:cs="Arial" w:eastAsia="Arial" w:hAnsi="Arial"/>
          <w:sz w:val="22"/>
          <w:szCs w:val="22"/>
        </w:rPr>
        <w:t xml:space="preserve">Cross-domain integrative analysis. The structural tensions that emerge across domain boundaries will be identified and analysed. These tensions — between descriptive criminology and predictive modelling, between accuracy and explainability, between professional discretion and algorithmic authority, and between preventative safeguarding and presumption of innocence — are the intellectual engine of the synthesis. They cannot be resolved within any single domain; their analysis requires the integrative lens.</w:t>
      </w:r>
    </w:p>
    <w:p>
      <w:pPr>
        <w:pStyle w:val="ListParagraph"/>
        <w:numPr>
          <w:ilvl w:val="0"/>
          <w:numId w:val="2"/>
        </w:numPr>
        <w:spacing w:before="60" w:after="60"/>
      </w:pPr>
      <w:r>
        <w:rPr>
          <w:rFonts w:ascii="Arial" w:cs="Arial" w:eastAsia="Arial" w:hAnsi="Arial"/>
          <w:sz w:val="22"/>
          <w:szCs w:val="22"/>
        </w:rPr>
        <w:t xml:space="preserve">Conceptual model construction. Drawing on the domain syntheses and cross-domain analysis, the four-layer socio-technical framework (Behavioural, Computational, Organisational, Governance layers) will be constructed and its internal logic articulated. The model's central principle — conditional interdependence, whereby weakness in any layer undermines the whole — will be developed from the literature rather than imposed upon it.</w:t>
      </w:r>
    </w:p>
    <w:p>
      <w:pPr>
        <w:pBdr>
          <w:bottom w:val="single" w:color="2E4057" w:sz="6" w:space="1"/>
        </w:pBdr>
        <w:spacing w:before="160" w:after="160"/>
      </w:pPr>
    </w:p>
    <w:p>
      <w:pPr>
        <w:pStyle w:val="Heading1"/>
        <w:spacing w:before="360" w:after="180"/>
      </w:pPr>
      <w:r>
        <w:rPr>
          <w:rFonts w:ascii="Arial" w:cs="Arial" w:eastAsia="Arial" w:hAnsi="Arial"/>
          <w:b/>
          <w:bCs/>
          <w:sz w:val="32"/>
          <w:szCs w:val="32"/>
        </w:rPr>
        <w:t xml:space="preserve">5. Doctoral Methodology Statement</w:t>
      </w:r>
    </w:p>
    <w:p>
      <w:pPr>
        <w:spacing w:before="80" w:after="120"/>
        <w:jc w:val="both"/>
      </w:pPr>
      <w:r>
        <w:rPr>
          <w:rFonts w:ascii="Arial" w:cs="Arial" w:eastAsia="Arial" w:hAnsi="Arial"/>
          <w:sz w:val="22"/>
          <w:szCs w:val="22"/>
        </w:rPr>
        <w:t xml:space="preserve">The following statement is suitable for use or adaptation in a methodology chapter:</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CCCCCC" w:sz="1"/>
              <w:left w:val="single" w:color="CCCCCC" w:sz="1"/>
              <w:bottom w:val="single" w:color="CCCCCC" w:sz="1"/>
              <w:right w:val="single" w:color="CCCCCC" w:sz="1"/>
            </w:tcBorders>
            <w:shd w:fill="F0F7EE" w:val="clear"/>
            <w:tcMar>
              <w:top w:type="dxa" w:w="120"/>
              <w:left w:type="dxa" w:w="180"/>
              <w:bottom w:type="dxa" w:w="120"/>
              <w:right w:type="dxa" w:w="180"/>
            </w:tcMar>
          </w:tcPr>
          <w:p>
            <w:pPr>
              <w:spacing w:before="0" w:after="60"/>
            </w:pPr>
            <w:r>
              <w:rPr>
                <w:rFonts w:ascii="Arial" w:cs="Arial" w:eastAsia="Arial" w:hAnsi="Arial"/>
                <w:b/>
                <w:bCs/>
                <w:sz w:val="22"/>
                <w:szCs w:val="22"/>
              </w:rPr>
              <w:t xml:space="preserve">Proposed Methodology Chapter Statement</w:t>
            </w:r>
          </w:p>
          <w:p>
            <w:pPr>
              <w:spacing w:before="0" w:after="0"/>
              <w:jc w:val="both"/>
            </w:pPr>
            <w:r>
              <w:rPr>
                <w:rFonts w:ascii="Arial" w:cs="Arial" w:eastAsia="Arial" w:hAnsi="Arial"/>
                <w:sz w:val="22"/>
                <w:szCs w:val="22"/>
              </w:rPr>
              <w:t xml:space="preserve">This study adopts a systematic integrative literature review methodology, consistent with Torraco's (2005, 2016) theory-building integrative model and the integrative review framework developed by Whittemore and Knafl (2005). An integrative design is necessary due to the interdisciplinary and socio-technical nature of the research problem, which spans criminology, computational linguistics, organisational change and AI ethics and governance. No single disciplinary tradition can provide the conceptual architecture required to address the research problem; synthesis across methodologically heterogeneous literature is therefore a prerequisite rather than a preference. Systematic search and screening procedures, documented using a PRISMA-informed protocol, are employed to ensure transparency and methodological auditability appropriate to a high-stakes policing and child protection context. The purpose of the review is theory-building and conceptual synthesis, culminating in a socio-technical framework for the operationalisation of NLP within the structural, cultural and ethical constraints of UK policing.</w:t>
            </w:r>
          </w:p>
        </w:tc>
      </w:tr>
    </w:tbl>
    <w:p>
      <w:pPr>
        <w:spacing w:before="0" w:after="60"/>
      </w:pPr>
      <w:r>
        <w:t xml:space="preserve"/>
      </w:r>
    </w:p>
    <w:p>
      <w:pPr>
        <w:pBdr>
          <w:bottom w:val="single" w:color="2E4057" w:sz="6" w:space="1"/>
        </w:pBdr>
        <w:spacing w:before="160" w:after="160"/>
      </w:pPr>
    </w:p>
    <w:p>
      <w:pPr>
        <w:pStyle w:val="Heading1"/>
        <w:spacing w:before="360" w:after="180"/>
      </w:pPr>
      <w:r>
        <w:rPr>
          <w:rFonts w:ascii="Arial" w:cs="Arial" w:eastAsia="Arial" w:hAnsi="Arial"/>
          <w:b/>
          <w:bCs/>
          <w:sz w:val="32"/>
          <w:szCs w:val="32"/>
        </w:rPr>
        <w:t xml:space="preserve">6. Note on Source Synthesis</w:t>
      </w:r>
    </w:p>
    <w:p>
      <w:pPr>
        <w:spacing w:before="80" w:after="120"/>
        <w:jc w:val="both"/>
      </w:pPr>
      <w:r>
        <w:rPr>
          <w:rFonts w:ascii="Arial" w:cs="Arial" w:eastAsia="Arial" w:hAnsi="Arial"/>
          <w:sz w:val="22"/>
          <w:szCs w:val="22"/>
        </w:rPr>
        <w:t xml:space="preserve">This recommendation draws on three sources: the reflective submission (MOD006046), two LLM-generated methodology deliberations, and a ChatGPT comparative assessment. All three converge on the same methodological conclusion, which strengthens confidence in the recommendation.</w:t>
      </w:r>
    </w:p>
    <w:p>
      <w:pPr>
        <w:spacing w:before="80" w:after="120"/>
        <w:jc w:val="both"/>
      </w:pPr>
      <w:r>
        <w:rPr>
          <w:rFonts w:ascii="Arial" w:cs="Arial" w:eastAsia="Arial" w:hAnsi="Arial"/>
          <w:sz w:val="22"/>
          <w:szCs w:val="22"/>
        </w:rPr>
        <w:t xml:space="preserve">The reflective submission is the most authoritative source, being grounded in your specific professional context, operational experience, and the four research sub-questions developed through the reflective process. The LLM deliberations are useful for stress-testing the methodological logic but should not be cited as academic sources. The ChatGPT response provides a structurally clear argument that is useful as a template for writing up the methodology justification, but its generic framing — disconnected from your specific research context — means it would not survive viva scrutiny if presented unmodified.</w:t>
      </w:r>
    </w:p>
    <w:p>
      <w:pPr>
        <w:spacing w:before="80" w:after="120"/>
        <w:jc w:val="both"/>
      </w:pPr>
      <w:r>
        <w:rPr>
          <w:rFonts w:ascii="Arial" w:cs="Arial" w:eastAsia="Arial" w:hAnsi="Arial"/>
          <w:sz w:val="22"/>
          <w:szCs w:val="22"/>
        </w:rPr>
        <w:t xml:space="preserve">The value of this synthesis is that it combines the specificity of your own evidence with the structural clarity of the comparative assessment, producing a recommendation that is both intellectually grounded and practically usable.</w:t>
      </w:r>
    </w:p>
    <w:p>
      <w:pPr>
        <w:pBdr>
          <w:bottom w:val="single" w:color="2E4057" w:sz="6" w:space="1"/>
        </w:pBdr>
        <w:spacing w:before="160" w:after="160"/>
      </w:pPr>
    </w:p>
    <w:p>
      <w:pPr>
        <w:spacing w:before="0" w:after="60"/>
      </w:pPr>
      <w:r>
        <w:t xml:space="preserve"/>
      </w:r>
    </w:p>
    <w:p>
      <w:pPr>
        <w:spacing w:before="120" w:after="100"/>
      </w:pPr>
      <w:r>
        <w:rPr>
          <w:rFonts w:ascii="Arial" w:cs="Arial" w:eastAsia="Arial" w:hAnsi="Arial"/>
          <w:b/>
          <w:bCs/>
          <w:sz w:val="22"/>
          <w:szCs w:val="22"/>
        </w:rPr>
        <w:t xml:space="preserve">Key Methodological References</w:t>
      </w:r>
    </w:p>
    <w:p>
      <w:pPr>
        <w:spacing w:before="80" w:after="120"/>
        <w:jc w:val="both"/>
      </w:pPr>
      <w:r>
        <w:rPr>
          <w:rFonts w:ascii="Arial" w:cs="Arial" w:eastAsia="Arial" w:hAnsi="Arial"/>
          <w:sz w:val="22"/>
          <w:szCs w:val="22"/>
        </w:rPr>
        <w:t xml:space="preserve">Torraco, R.J. (2005) Writing integrative literature reviews: guidelines and concepts. Human Resource Development Review, 4(3), pp. 356–367.</w:t>
      </w:r>
    </w:p>
    <w:p>
      <w:pPr>
        <w:spacing w:before="80" w:after="120"/>
        <w:jc w:val="both"/>
      </w:pPr>
      <w:r>
        <w:rPr>
          <w:rFonts w:ascii="Arial" w:cs="Arial" w:eastAsia="Arial" w:hAnsi="Arial"/>
          <w:sz w:val="22"/>
          <w:szCs w:val="22"/>
        </w:rPr>
        <w:t xml:space="preserve">Torraco, R.J. (2016) Writing integrative literature reviews: using the past and present to explore the future. Human Resource Development Review, 15(4), pp. 404–428.</w:t>
      </w:r>
    </w:p>
    <w:p>
      <w:pPr>
        <w:spacing w:before="80" w:after="120"/>
        <w:jc w:val="both"/>
      </w:pPr>
      <w:r>
        <w:rPr>
          <w:rFonts w:ascii="Arial" w:cs="Arial" w:eastAsia="Arial" w:hAnsi="Arial"/>
          <w:sz w:val="22"/>
          <w:szCs w:val="22"/>
        </w:rPr>
        <w:t xml:space="preserve">Whittemore, R. and Knafl, K. (2005) The integrative review: updated methodology. Journal of Advanced Nursing, 52(5), pp. 546–553.</w:t>
      </w:r>
    </w:p>
    <w:p>
      <w:pPr>
        <w:spacing w:before="80" w:after="120"/>
        <w:jc w:val="both"/>
      </w:pPr>
      <w:r>
        <w:rPr>
          <w:rFonts w:ascii="Arial" w:cs="Arial" w:eastAsia="Arial" w:hAnsi="Arial"/>
          <w:sz w:val="22"/>
          <w:szCs w:val="22"/>
        </w:rPr>
        <w:t xml:space="preserve">Moher, D. et al. (2009) Preferred Reporting Items for Systematic Reviews and Meta-Analyses: the PRISMA statement. PLoS Medicine, 6(7).</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Patrick Thompson — 2433678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888888"/>
        <w:sz w:val="18"/>
        <w:szCs w:val="18"/>
      </w:rPr>
      <w:t xml:space="preserve">Literature Review Methodology — Professional Doctorate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i/>
      <w:iCs/>
      <w:color w:val="4A7C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2026-02-26T05:29:13.966Z</dcterms:created>
  <dcterms:modified xsi:type="dcterms:W3CDTF">2026-02-26T05:29:13.967Z</dcterms:modified>
</cp:coreProperties>
</file>

<file path=docProps/custom.xml><?xml version="1.0" encoding="utf-8"?>
<Properties xmlns="http://schemas.openxmlformats.org/officeDocument/2006/custom-properties" xmlns:vt="http://schemas.openxmlformats.org/officeDocument/2006/docPropsVTypes"/>
</file>