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24858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8003B"/>
    <w:rsid w:val="32494514"/>
    <w:rsid w:val="32653683"/>
    <w:rsid w:val="33F23A5C"/>
    <w:rsid w:val="349009AD"/>
    <w:rsid w:val="35A0055E"/>
    <w:rsid w:val="35AD0D05"/>
    <w:rsid w:val="35D25CA7"/>
    <w:rsid w:val="35FF3AD7"/>
    <w:rsid w:val="373777B3"/>
    <w:rsid w:val="37381F30"/>
    <w:rsid w:val="379B2322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9AD3768"/>
    <w:rsid w:val="3A4264E8"/>
    <w:rsid w:val="3ADB2078"/>
    <w:rsid w:val="3AFC1C3D"/>
    <w:rsid w:val="3B617DCB"/>
    <w:rsid w:val="3B72119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6EC13A5"/>
    <w:rsid w:val="58607961"/>
    <w:rsid w:val="58F201D1"/>
    <w:rsid w:val="599931EC"/>
    <w:rsid w:val="599D6D4F"/>
    <w:rsid w:val="5A992040"/>
    <w:rsid w:val="5ABF7031"/>
    <w:rsid w:val="5B250797"/>
    <w:rsid w:val="5B2C64CC"/>
    <w:rsid w:val="5BF2298A"/>
    <w:rsid w:val="5D2110D1"/>
    <w:rsid w:val="5DFB743B"/>
    <w:rsid w:val="5F147A90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BC44F04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D326B01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ScaleCrop>false</ScaleCrop>
  <LinksUpToDate>false</LinksUpToDate>
  <CharactersWithSpaces>33490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wupeng02</cp:lastModifiedBy>
  <dcterms:modified xsi:type="dcterms:W3CDTF">2018-04-03T02:33:00Z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