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drawing>
          <wp:inline distT="0" distB="0" distL="0" distR="0">
            <wp:extent cx="6419850" cy="514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9850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b/>
          <w:bCs/>
          <w:color w:val="0D1B5E"/>
          <w:sz w:val="36"/>
          <w:szCs w:val="36"/>
        </w:rPr>
        <w:t xml:space="preserve">Reference C: marking and review slides</w:t>
      </w:r>
    </w:p>
    <w:tbl>
      <w:tblPr>
        <w:tblW w:type="dxa" w:w="1010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106"/>
      </w:tblGrid>
      <w:tr>
        <w:tc>
          <w:tcPr>
            <w:tcW w:type="dxa" w:w="10106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D1B5E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b/>
                <w:bCs/>
                <w:color w:val="FABB2E"/>
                <w:sz w:val="26"/>
                <w:szCs w:val="26"/>
              </w:rPr>
              <w:t xml:space="preserve">MODEL ANSWERS</w:t>
            </w:r>
            <w:r>
              <w:rPr>
                <w:color w:val="FFFFFF"/>
                <w:sz w:val="22"/>
                <w:szCs w:val="22"/>
              </w:rPr>
              <w:t xml:space="preserve">  —  marking copy</w:t>
            </w:r>
          </w:p>
        </w:tc>
      </w:tr>
    </w:tbl>
    <w:p>
      <w:pPr>
        <w:spacing w:after="20" w:before="20"/>
      </w:pPr>
    </w:p>
    <w:p>
      <w:pPr>
        <w:spacing w:after="20" w:before="20"/>
      </w:pPr>
    </w:p>
    <w:tbl>
      <w:tblPr>
        <w:tblW w:type="dxa" w:w="1010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106"/>
      </w:tblGrid>
      <w:tr>
        <w:tc>
          <w:tcPr>
            <w:tcW w:type="dxa" w:w="10106"/>
            <w:tcBorders>
              <w:top w:val="none" w:color="auto" w:sz="0"/>
              <w:left w:val="single" w:color="E65100" w:sz="36"/>
              <w:bottom w:val="none" w:color="auto" w:sz="0"/>
              <w:right w:val="none" w:color="auto" w:sz="0"/>
            </w:tcBorders>
            <w:shd w:fill="FFF3E0" w:color="auto" w:val="clear"/>
            <w:tcMar>
              <w:top w:type="dxa" w:w="60"/>
              <w:left w:type="dxa" w:w="1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E65100"/>
                <w:sz w:val="28"/>
                <w:szCs w:val="28"/>
              </w:rPr>
              <w:t xml:space="preserve">BUILD</w:t>
            </w:r>
          </w:p>
        </w:tc>
      </w:tr>
    </w:tbl>
    <w:p>
      <w:pPr>
        <w:spacing w:after="20" w:before="20"/>
      </w:pPr>
    </w:p>
    <w:p>
      <w:pPr>
        <w:spacing w:after="0" w:before="20"/>
      </w:pPr>
      <w:r>
        <w:rPr>
          <w:b/>
          <w:bCs/>
          <w:sz w:val="24"/>
          <w:szCs w:val="24"/>
        </w:rPr>
        <w:t xml:space="preserve">Q1  </w:t>
      </w:r>
      <w:r>
        <w:rPr>
          <w:sz w:val="24"/>
          <w:szCs w:val="24"/>
        </w:rPr>
        <w:t xml:space="preserve">Explain how increasing the concentration of the acid changes the rate of reaction.</w:t>
      </w:r>
    </w:p>
    <w:p>
      <w:pPr>
        <w:spacing w:after="20" w:before="0"/>
        <w:jc w:val="right"/>
      </w:pPr>
      <w:r>
        <w:rPr>
          <w:color w:val="888888"/>
          <w:sz w:val="20"/>
          <w:szCs w:val="20"/>
        </w:rPr>
        <w:t xml:space="preserve">[6 marks]</w:t>
      </w:r>
    </w:p>
    <w:p>
      <w:pPr>
        <w:spacing w:after="20" w:before="10"/>
        <w:ind w:left="360"/>
      </w:pPr>
      <w:r>
        <w:rPr>
          <w:color w:val="555555"/>
          <w:sz w:val="20"/>
          <w:szCs w:val="20"/>
        </w:rPr>
        <w:t xml:space="preserve">Mark each answer against the mark scheme. Give it a level and a mark out of 6.</w:t>
      </w:r>
    </w:p>
    <w:tbl>
      <w:tblPr>
        <w:tblW w:type="dxa" w:w="101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0106"/>
      </w:tblGrid>
      <w:tr>
        <w:tc>
          <w:tcPr>
            <w:tcW w:type="dxa" w:w="10106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D1B5E" w:color="auto" w:val="clear"/>
            <w:tcMar>
              <w:top w:type="dxa" w:w="40"/>
              <w:left w:type="dxa" w:w="160"/>
              <w:bottom w:type="dxa" w:w="40"/>
              <w:right w:type="dxa" w:w="160"/>
            </w:tcMar>
            <w:vAlign w:val="center"/>
          </w:tcPr>
          <w:p>
            <w:r>
              <w:rPr>
                <w:b/>
                <w:bCs/>
                <w:color w:val="FABB2E"/>
                <w:sz w:val="20"/>
                <w:szCs w:val="20"/>
              </w:rPr>
              <w:t xml:space="preserve">Student A</w:t>
            </w:r>
          </w:p>
        </w:tc>
      </w:tr>
      <w:tr>
        <w:tc>
          <w:tcPr>
            <w:tcW w:type="dxa" w:w="101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sz w:val="22"/>
                <w:szCs w:val="22"/>
              </w:rPr>
              <w:t xml:space="preserve">There is more acid so it goes faster. The particles bump more.</w:t>
            </w:r>
          </w:p>
        </w:tc>
      </w:tr>
    </w:tbl>
    <w:p>
      <w:pPr>
        <w:spacing w:after="10" w:before="10"/>
        <w:ind w:left="360"/>
      </w:pPr>
      <w:r>
        <w:rPr>
          <w:b/>
          <w:bCs/>
          <w:color w:val="0D1B5E"/>
          <w:sz w:val="20"/>
          <w:szCs w:val="20"/>
        </w:rPr>
        <w:t xml:space="preserve">Awarded:  </w:t>
      </w:r>
      <w:r>
        <w:rPr>
          <w:b/>
          <w:bCs/>
          <w:color w:val="C05A00"/>
          <w:sz w:val="20"/>
          <w:szCs w:val="20"/>
        </w:rPr>
        <w:t xml:space="preserve">Level 1  ·  2/6</w:t>
      </w:r>
    </w:p>
    <w:p>
      <w:pPr>
        <w:spacing w:after="0" w:before="0"/>
        <w:ind w:left="480"/>
      </w:pPr>
      <w:r>
        <w:rPr>
          <w:b/>
          <w:bCs/>
          <w:color w:val="1B5E20"/>
          <w:sz w:val="20"/>
          <w:szCs w:val="20"/>
        </w:rPr>
        <w:t xml:space="preserve">•  </w:t>
      </w:r>
      <w:r>
        <w:rPr>
          <w:color w:val="1B5E20"/>
          <w:sz w:val="20"/>
          <w:szCs w:val="20"/>
        </w:rPr>
        <w:t xml:space="preserve">rate increases</w:t>
      </w:r>
    </w:p>
    <w:p>
      <w:pPr>
        <w:spacing w:after="0" w:before="0"/>
        <w:ind w:left="480"/>
      </w:pPr>
      <w:r>
        <w:rPr>
          <w:b/>
          <w:bCs/>
          <w:color w:val="9B1B1B"/>
          <w:sz w:val="20"/>
          <w:szCs w:val="20"/>
        </w:rPr>
        <w:t xml:space="preserve">•  </w:t>
      </w:r>
      <w:r>
        <w:rPr>
          <w:color w:val="9B1B1B"/>
          <w:sz w:val="20"/>
          <w:szCs w:val="20"/>
        </w:rPr>
        <w:t xml:space="preserve">missed: no mention of frequency</w:t>
      </w:r>
    </w:p>
    <w:p>
      <w:pPr>
        <w:spacing w:after="0" w:before="0"/>
        <w:ind w:left="480"/>
      </w:pPr>
      <w:r>
        <w:rPr>
          <w:b/>
          <w:bCs/>
          <w:color w:val="9B1B1B"/>
          <w:sz w:val="20"/>
          <w:szCs w:val="20"/>
        </w:rPr>
        <w:t xml:space="preserve">•  </w:t>
      </w:r>
      <w:r>
        <w:rPr>
          <w:color w:val="9B1B1B"/>
          <w:sz w:val="20"/>
          <w:szCs w:val="20"/>
        </w:rPr>
        <w:t xml:space="preserve">missed: no link to particles per volume</w:t>
      </w:r>
    </w:p>
    <w:p>
      <w:pPr>
        <w:spacing w:after="20" w:before="10"/>
        <w:ind w:left="360"/>
      </w:pPr>
      <w:r>
        <w:rPr>
          <w:color w:val="555555"/>
          <w:sz w:val="18"/>
          <w:szCs w:val="18"/>
        </w:rPr>
        <w:t xml:space="preserve">Everyday language, no collision theory.</w:t>
      </w:r>
    </w:p>
    <w:tbl>
      <w:tblPr>
        <w:tblW w:type="dxa" w:w="101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0106"/>
      </w:tblGrid>
      <w:tr>
        <w:tc>
          <w:tcPr>
            <w:tcW w:type="dxa" w:w="10106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D1B5E" w:color="auto" w:val="clear"/>
            <w:tcMar>
              <w:top w:type="dxa" w:w="40"/>
              <w:left w:type="dxa" w:w="160"/>
              <w:bottom w:type="dxa" w:w="40"/>
              <w:right w:type="dxa" w:w="160"/>
            </w:tcMar>
            <w:vAlign w:val="center"/>
          </w:tcPr>
          <w:p>
            <w:r>
              <w:rPr>
                <w:b/>
                <w:bCs/>
                <w:color w:val="FABB2E"/>
                <w:sz w:val="20"/>
                <w:szCs w:val="20"/>
              </w:rPr>
              <w:t xml:space="preserve">Student B</w:t>
            </w:r>
          </w:p>
        </w:tc>
      </w:tr>
      <w:tr>
        <w:tc>
          <w:tcPr>
            <w:tcW w:type="dxa" w:w="101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sz w:val="22"/>
                <w:szCs w:val="22"/>
              </w:rPr>
              <w:t xml:space="preserve">More particles in the same volume so they are closer. That means more collisions so the rate goes up.</w:t>
            </w:r>
          </w:p>
        </w:tc>
      </w:tr>
    </w:tbl>
    <w:p>
      <w:pPr>
        <w:spacing w:after="10" w:before="10"/>
        <w:ind w:left="360"/>
      </w:pPr>
      <w:r>
        <w:rPr>
          <w:b/>
          <w:bCs/>
          <w:color w:val="0D1B5E"/>
          <w:sz w:val="20"/>
          <w:szCs w:val="20"/>
        </w:rPr>
        <w:t xml:space="preserve">Awarded:  </w:t>
      </w:r>
      <w:r>
        <w:rPr>
          <w:b/>
          <w:bCs/>
          <w:color w:val="C05A00"/>
          <w:sz w:val="20"/>
          <w:szCs w:val="20"/>
        </w:rPr>
        <w:t xml:space="preserve">Level 2  ·  4/6</w:t>
      </w:r>
    </w:p>
    <w:p>
      <w:pPr>
        <w:spacing w:after="0" w:before="0"/>
        <w:ind w:left="480"/>
      </w:pPr>
      <w:r>
        <w:rPr>
          <w:b/>
          <w:bCs/>
          <w:color w:val="1B5E20"/>
          <w:sz w:val="20"/>
          <w:szCs w:val="20"/>
        </w:rPr>
        <w:t xml:space="preserve">•  </w:t>
      </w:r>
      <w:r>
        <w:rPr>
          <w:color w:val="1B5E20"/>
          <w:sz w:val="20"/>
          <w:szCs w:val="20"/>
        </w:rPr>
        <w:t xml:space="preserve">more particles per volume</w:t>
      </w:r>
    </w:p>
    <w:p>
      <w:pPr>
        <w:spacing w:after="0" w:before="0"/>
        <w:ind w:left="480"/>
      </w:pPr>
      <w:r>
        <w:rPr>
          <w:b/>
          <w:bCs/>
          <w:color w:val="1B5E20"/>
          <w:sz w:val="20"/>
          <w:szCs w:val="20"/>
        </w:rPr>
        <w:t xml:space="preserve">•  </w:t>
      </w:r>
      <w:r>
        <w:rPr>
          <w:color w:val="1B5E20"/>
          <w:sz w:val="20"/>
          <w:szCs w:val="20"/>
        </w:rPr>
        <w:t xml:space="preserve">collisions increase</w:t>
      </w:r>
    </w:p>
    <w:p>
      <w:pPr>
        <w:spacing w:after="0" w:before="0"/>
        <w:ind w:left="480"/>
      </w:pPr>
      <w:r>
        <w:rPr>
          <w:b/>
          <w:bCs/>
          <w:color w:val="1B5E20"/>
          <w:sz w:val="20"/>
          <w:szCs w:val="20"/>
        </w:rPr>
        <w:t xml:space="preserve">•  </w:t>
      </w:r>
      <w:r>
        <w:rPr>
          <w:color w:val="1B5E20"/>
          <w:sz w:val="20"/>
          <w:szCs w:val="20"/>
        </w:rPr>
        <w:t xml:space="preserve">rate increases</w:t>
      </w:r>
    </w:p>
    <w:p>
      <w:pPr>
        <w:spacing w:after="0" w:before="0"/>
        <w:ind w:left="480"/>
      </w:pPr>
      <w:r>
        <w:rPr>
          <w:b/>
          <w:bCs/>
          <w:color w:val="9B1B1B"/>
          <w:sz w:val="20"/>
          <w:szCs w:val="20"/>
        </w:rPr>
        <w:t xml:space="preserve">•  </w:t>
      </w:r>
      <w:r>
        <w:rPr>
          <w:color w:val="9B1B1B"/>
          <w:sz w:val="20"/>
          <w:szCs w:val="20"/>
        </w:rPr>
        <w:t xml:space="preserve">missed: does not say collisions are more frequent</w:t>
      </w:r>
    </w:p>
    <w:p>
      <w:pPr>
        <w:spacing w:after="20" w:before="10"/>
        <w:ind w:left="360"/>
      </w:pPr>
      <w:r>
        <w:rPr>
          <w:color w:val="555555"/>
          <w:sz w:val="18"/>
          <w:szCs w:val="18"/>
        </w:rPr>
        <w:t xml:space="preserve">Close to Level 3. Needs the word frequent.</w:t>
      </w:r>
    </w:p>
    <w:tbl>
      <w:tblPr>
        <w:tblW w:type="dxa" w:w="101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0106"/>
      </w:tblGrid>
      <w:tr>
        <w:tc>
          <w:tcPr>
            <w:tcW w:type="dxa" w:w="10106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D1B5E" w:color="auto" w:val="clear"/>
            <w:tcMar>
              <w:top w:type="dxa" w:w="40"/>
              <w:left w:type="dxa" w:w="160"/>
              <w:bottom w:type="dxa" w:w="40"/>
              <w:right w:type="dxa" w:w="160"/>
            </w:tcMar>
            <w:vAlign w:val="center"/>
          </w:tcPr>
          <w:p>
            <w:r>
              <w:rPr>
                <w:b/>
                <w:bCs/>
                <w:color w:val="FABB2E"/>
                <w:sz w:val="20"/>
                <w:szCs w:val="20"/>
              </w:rPr>
              <w:t xml:space="preserve">Student C</w:t>
            </w:r>
          </w:p>
        </w:tc>
      </w:tr>
      <w:tr>
        <w:tc>
          <w:tcPr>
            <w:tcW w:type="dxa" w:w="101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sz w:val="22"/>
                <w:szCs w:val="22"/>
              </w:rPr>
              <w:t xml:space="preserve">The particles have more energy so they hit harder and the reaction is faster.</w:t>
            </w:r>
          </w:p>
        </w:tc>
      </w:tr>
    </w:tbl>
    <w:p>
      <w:pPr>
        <w:spacing w:after="10" w:before="10"/>
        <w:ind w:left="360"/>
      </w:pPr>
      <w:r>
        <w:rPr>
          <w:b/>
          <w:bCs/>
          <w:color w:val="0D1B5E"/>
          <w:sz w:val="20"/>
          <w:szCs w:val="20"/>
        </w:rPr>
        <w:t xml:space="preserve">Awarded:  </w:t>
      </w:r>
      <w:r>
        <w:rPr>
          <w:b/>
          <w:bCs/>
          <w:color w:val="C05A00"/>
          <w:sz w:val="20"/>
          <w:szCs w:val="20"/>
        </w:rPr>
        <w:t xml:space="preserve">Level 1  ·  1/6</w:t>
      </w:r>
    </w:p>
    <w:p>
      <w:pPr>
        <w:spacing w:after="0" w:before="0"/>
        <w:ind w:left="480"/>
      </w:pPr>
      <w:r>
        <w:rPr>
          <w:b/>
          <w:bCs/>
          <w:color w:val="1B5E20"/>
          <w:sz w:val="20"/>
          <w:szCs w:val="20"/>
        </w:rPr>
        <w:t xml:space="preserve">•  </w:t>
      </w:r>
      <w:r>
        <w:rPr>
          <w:color w:val="1B5E20"/>
          <w:sz w:val="20"/>
          <w:szCs w:val="20"/>
        </w:rPr>
        <w:t xml:space="preserve">rate increases</w:t>
      </w:r>
    </w:p>
    <w:p>
      <w:pPr>
        <w:spacing w:after="0" w:before="0"/>
        <w:ind w:left="480"/>
      </w:pPr>
      <w:r>
        <w:rPr>
          <w:b/>
          <w:bCs/>
          <w:color w:val="9B1B1B"/>
          <w:sz w:val="20"/>
          <w:szCs w:val="20"/>
        </w:rPr>
        <w:t xml:space="preserve">•  </w:t>
      </w:r>
      <w:r>
        <w:rPr>
          <w:color w:val="9B1B1B"/>
          <w:sz w:val="20"/>
          <w:szCs w:val="20"/>
        </w:rPr>
        <w:t xml:space="preserve">missed: mechanism is wrong</w:t>
      </w:r>
    </w:p>
    <w:p>
      <w:pPr>
        <w:spacing w:after="20" w:before="10"/>
        <w:ind w:left="360"/>
      </w:pPr>
      <w:r>
        <w:rPr>
          <w:color w:val="555555"/>
          <w:sz w:val="18"/>
          <w:szCs w:val="18"/>
        </w:rPr>
        <w:t xml:space="preserve">Classic misconception: concentration confused with temperature.</w:t>
      </w:r>
    </w:p>
    <w:tbl>
      <w:tblPr>
        <w:tblW w:type="dxa" w:w="1010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106"/>
      </w:tblGrid>
      <w:tr>
        <w:tc>
          <w:tcPr>
            <w:tcW w:type="dxa" w:w="10106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D1B5E" w:color="auto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spacing w:after="10" w:before="10"/>
            </w:pPr>
            <w:r>
              <w:rPr>
                <w:b/>
                <w:bCs/>
                <w:color w:val="FABB2E"/>
                <w:sz w:val="24"/>
                <w:szCs w:val="24"/>
              </w:rPr>
              <w:t xml:space="preserve">INDICATIVE CONTENT</w:t>
            </w:r>
          </w:p>
          <w:p>
            <w:pPr>
              <w:spacing w:after="10" w:before="20"/>
              <w:ind w:left="120"/>
            </w:pPr>
            <w:r>
              <w:rPr>
                <w:b/>
                <w:bCs/>
                <w:color w:val="FFE082"/>
                <w:sz w:val="20"/>
                <w:szCs w:val="20"/>
              </w:rPr>
              <w:t xml:space="preserve">CONCENTRATION</w:t>
            </w:r>
          </w:p>
          <w:p>
            <w:pPr>
              <w:spacing w:after="10" w:before="10"/>
              <w:ind w:left="240"/>
            </w:pPr>
            <w:r>
              <w:rPr>
                <w:b/>
                <w:bCs/>
                <w:color w:val="FABB2E"/>
                <w:sz w:val="22"/>
                <w:szCs w:val="22"/>
              </w:rPr>
              <w:t xml:space="preserve">•  </w:t>
            </w:r>
            <w:r>
              <w:rPr>
                <w:color w:val="FABB2E"/>
                <w:sz w:val="22"/>
                <w:szCs w:val="22"/>
              </w:rPr>
              <w:t xml:space="preserve">more acid particles in the same </w:t>
            </w:r>
            <w:r>
              <w:rPr>
                <w:color w:val="FABB2E"/>
                <w:sz w:val="22"/>
                <w:szCs w:val="22"/>
                <w:u w:val="single"/>
              </w:rPr>
              <w:t xml:space="preserve">volume</w:t>
            </w:r>
          </w:p>
          <w:p>
            <w:pPr>
              <w:spacing w:after="10" w:before="10"/>
              <w:ind w:left="240"/>
            </w:pPr>
            <w:r>
              <w:rPr>
                <w:b/>
                <w:bCs/>
                <w:color w:val="FABB2E"/>
                <w:sz w:val="22"/>
                <w:szCs w:val="22"/>
              </w:rPr>
              <w:t xml:space="preserve">•  </w:t>
            </w:r>
            <w:r>
              <w:rPr>
                <w:color w:val="FABB2E"/>
                <w:sz w:val="22"/>
                <w:szCs w:val="22"/>
              </w:rPr>
              <w:t xml:space="preserve">particles are closer together</w:t>
            </w:r>
          </w:p>
          <w:p>
            <w:pPr>
              <w:spacing w:after="10" w:before="20"/>
              <w:ind w:left="120"/>
            </w:pPr>
            <w:r>
              <w:rPr>
                <w:b/>
                <w:bCs/>
                <w:color w:val="FFE082"/>
                <w:sz w:val="20"/>
                <w:szCs w:val="20"/>
              </w:rPr>
              <w:t xml:space="preserve">COLLISION THEORY</w:t>
            </w:r>
          </w:p>
          <w:p>
            <w:pPr>
              <w:spacing w:after="10" w:before="10"/>
              <w:ind w:left="240"/>
            </w:pPr>
            <w:r>
              <w:rPr>
                <w:b/>
                <w:bCs/>
                <w:color w:val="FABB2E"/>
                <w:sz w:val="22"/>
                <w:szCs w:val="22"/>
              </w:rPr>
              <w:t xml:space="preserve">•  </w:t>
            </w:r>
            <w:r>
              <w:rPr>
                <w:color w:val="FABB2E"/>
                <w:sz w:val="22"/>
                <w:szCs w:val="22"/>
              </w:rPr>
              <w:t xml:space="preserve">collisions are more </w:t>
            </w:r>
            <w:r>
              <w:rPr>
                <w:color w:val="FABB2E"/>
                <w:sz w:val="22"/>
                <w:szCs w:val="22"/>
                <w:u w:val="single"/>
              </w:rPr>
              <w:t xml:space="preserve">frequent</w:t>
            </w:r>
          </w:p>
          <w:p>
            <w:pPr>
              <w:spacing w:after="10" w:before="10"/>
              <w:ind w:left="240"/>
            </w:pPr>
            <w:r>
              <w:rPr>
                <w:b/>
                <w:bCs/>
                <w:color w:val="FABB2E"/>
                <w:sz w:val="22"/>
                <w:szCs w:val="22"/>
              </w:rPr>
              <w:t xml:space="preserve">•  </w:t>
            </w:r>
            <w:r>
              <w:rPr>
                <w:color w:val="FABB2E"/>
                <w:sz w:val="22"/>
                <w:szCs w:val="22"/>
              </w:rPr>
              <w:t xml:space="preserve">more successful collisions per second</w:t>
            </w:r>
          </w:p>
          <w:p>
            <w:pPr>
              <w:spacing w:after="10" w:before="20"/>
              <w:ind w:left="120"/>
            </w:pPr>
            <w:r>
              <w:rPr>
                <w:b/>
                <w:bCs/>
                <w:color w:val="FFE082"/>
                <w:sz w:val="20"/>
                <w:szCs w:val="20"/>
              </w:rPr>
              <w:t xml:space="preserve">OUTCOME</w:t>
            </w:r>
          </w:p>
          <w:p>
            <w:pPr>
              <w:spacing w:after="10" w:before="10"/>
              <w:ind w:left="240"/>
            </w:pPr>
            <w:r>
              <w:rPr>
                <w:b/>
                <w:bCs/>
                <w:color w:val="FABB2E"/>
                <w:sz w:val="22"/>
                <w:szCs w:val="22"/>
              </w:rPr>
              <w:t xml:space="preserve">•  </w:t>
            </w:r>
            <w:r>
              <w:rPr>
                <w:color w:val="FABB2E"/>
                <w:sz w:val="22"/>
                <w:szCs w:val="22"/>
              </w:rPr>
              <w:t xml:space="preserve">so the </w:t>
            </w:r>
            <w:r>
              <w:rPr>
                <w:color w:val="FABB2E"/>
                <w:sz w:val="22"/>
                <w:szCs w:val="22"/>
                <w:u w:val="single"/>
              </w:rPr>
              <w:t xml:space="preserve">rate</w:t>
            </w:r>
            <w:r>
              <w:rPr>
                <w:color w:val="FABB2E"/>
                <w:sz w:val="22"/>
                <w:szCs w:val="22"/>
              </w:rPr>
              <w:t xml:space="preserve"> increases</w:t>
            </w:r>
          </w:p>
          <w:p>
            <w:pPr>
              <w:spacing w:after="10" w:before="10"/>
              <w:ind w:left="240"/>
            </w:pPr>
            <w:r>
              <w:rPr>
                <w:b/>
                <w:bCs/>
                <w:color w:val="FABB2E"/>
                <w:sz w:val="22"/>
                <w:szCs w:val="22"/>
              </w:rPr>
              <w:t xml:space="preserve">•  </w:t>
            </w:r>
            <w:r>
              <w:rPr>
                <w:color w:val="FABB2E"/>
                <w:sz w:val="22"/>
                <w:szCs w:val="22"/>
              </w:rPr>
              <w:t xml:space="preserve">the total gas produced is unchanged </w:t>
            </w:r>
            <w:r>
              <w:rPr>
                <w:b/>
                <w:bCs/>
                <w:color w:val="FABB2E"/>
                <w:sz w:val="22"/>
                <w:szCs w:val="22"/>
              </w:rPr>
              <w:t xml:space="preserve">unless</w:t>
            </w:r>
            <w:r>
              <w:rPr>
                <w:color w:val="FABB2E"/>
                <w:sz w:val="22"/>
                <w:szCs w:val="22"/>
              </w:rPr>
              <w:t xml:space="preserve"> acid is limiting</w:t>
            </w:r>
          </w:p>
          <w:p>
            <w:pPr>
              <w:spacing w:after="10" w:before="10"/>
            </w:pPr>
            <w:r>
              <w:rPr>
                <w:b/>
                <w:bCs/>
                <w:color w:val="FABB2E"/>
                <w:sz w:val="24"/>
                <w:szCs w:val="24"/>
              </w:rPr>
              <w:t xml:space="preserve">BANDS</w:t>
            </w:r>
          </w:p>
          <w:p>
            <w:pPr>
              <w:spacing w:after="20" w:before="10"/>
            </w:pPr>
            <w:r>
              <w:rPr>
                <w:b/>
                <w:bCs/>
                <w:color w:val="FABB2E"/>
                <w:sz w:val="22"/>
                <w:szCs w:val="22"/>
              </w:rPr>
              <w:t xml:space="preserve">Level 3 (5 to 6):  </w:t>
            </w:r>
            <w:r>
              <w:rPr>
                <w:color w:val="FABB2E"/>
                <w:sz w:val="22"/>
                <w:szCs w:val="22"/>
              </w:rPr>
              <w:t xml:space="preserve">Full collision theory link with correct use of frequency</w:t>
            </w:r>
          </w:p>
          <w:p>
            <w:pPr>
              <w:spacing w:after="20" w:before="10"/>
            </w:pPr>
            <w:r>
              <w:rPr>
                <w:b/>
                <w:bCs/>
                <w:color w:val="FABB2E"/>
                <w:sz w:val="22"/>
                <w:szCs w:val="22"/>
              </w:rPr>
              <w:t xml:space="preserve">Level 2 (3 to 4):  </w:t>
            </w:r>
            <w:r>
              <w:rPr>
                <w:color w:val="FABB2E"/>
                <w:sz w:val="22"/>
                <w:szCs w:val="22"/>
              </w:rPr>
              <w:t xml:space="preserve">Some collision theory, imprecise language</w:t>
            </w:r>
          </w:p>
          <w:p>
            <w:pPr>
              <w:spacing w:after="20" w:before="10"/>
            </w:pPr>
            <w:r>
              <w:rPr>
                <w:b/>
                <w:bCs/>
                <w:color w:val="FABB2E"/>
                <w:sz w:val="22"/>
                <w:szCs w:val="22"/>
              </w:rPr>
              <w:t xml:space="preserve">Level 1 (1 to 2):  </w:t>
            </w:r>
            <w:r>
              <w:rPr>
                <w:color w:val="FABB2E"/>
                <w:sz w:val="22"/>
                <w:szCs w:val="22"/>
              </w:rPr>
              <w:t xml:space="preserve">States the rate increases with no mechanism</w:t>
            </w:r>
          </w:p>
          <w:p>
            <w:pPr>
              <w:spacing w:after="10" w:before="20"/>
            </w:pPr>
            <w:r>
              <w:rPr>
                <w:b/>
                <w:bCs/>
                <w:color w:val="FF8A80"/>
                <w:sz w:val="22"/>
                <w:szCs w:val="22"/>
              </w:rPr>
              <w:t xml:space="preserve">EXCLUSIONARY CLAIMS</w:t>
            </w:r>
          </w:p>
          <w:p>
            <w:pPr>
              <w:spacing w:after="10" w:before="10"/>
              <w:ind w:left="120"/>
            </w:pPr>
            <w:r>
              <w:rPr>
                <w:b/>
                <w:bCs/>
                <w:color w:val="FF8A80"/>
                <w:sz w:val="20"/>
                <w:szCs w:val="20"/>
              </w:rPr>
              <w:t xml:space="preserve">•  </w:t>
            </w:r>
            <w:r>
              <w:rPr>
                <w:color w:val="FFCDD2"/>
                <w:sz w:val="20"/>
                <w:szCs w:val="20"/>
              </w:rPr>
              <w:t xml:space="preserve">the particles have more energy</w:t>
            </w:r>
          </w:p>
          <w:p>
            <w:pPr>
              <w:spacing w:after="10" w:before="10"/>
              <w:ind w:left="120"/>
            </w:pPr>
            <w:r>
              <w:rPr>
                <w:b/>
                <w:bCs/>
                <w:color w:val="FF8A80"/>
                <w:sz w:val="20"/>
                <w:szCs w:val="20"/>
              </w:rPr>
              <w:t xml:space="preserve">•  </w:t>
            </w:r>
            <w:r>
              <w:rPr>
                <w:color w:val="FFCDD2"/>
                <w:sz w:val="20"/>
                <w:szCs w:val="20"/>
              </w:rPr>
              <w:t xml:space="preserve">the collisions are harder</w:t>
            </w:r>
          </w:p>
        </w:tc>
      </w:tr>
    </w:tbl>
    <w:p>
      <w:pPr>
        <w:spacing w:after="20" w:before="20"/>
      </w:pPr>
    </w:p>
    <w:p>
      <w:pPr>
        <w:spacing w:after="20" w:before="20"/>
      </w:pPr>
    </w:p>
    <w:tbl>
      <w:tblPr>
        <w:tblW w:type="dxa" w:w="1010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106"/>
      </w:tblGrid>
      <w:tr>
        <w:tc>
          <w:tcPr>
            <w:tcW w:type="dxa" w:w="10106"/>
            <w:tcBorders>
              <w:top w:val="none" w:color="auto" w:sz="0"/>
              <w:left w:val="single" w:color="B71C1C" w:sz="36"/>
              <w:bottom w:val="none" w:color="auto" w:sz="0"/>
              <w:right w:val="none" w:color="auto" w:sz="0"/>
            </w:tcBorders>
            <w:shd w:fill="FFEBEE" w:color="auto" w:val="clear"/>
            <w:tcMar>
              <w:top w:type="dxa" w:w="60"/>
              <w:left w:type="dxa" w:w="1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B71C1C"/>
                <w:sz w:val="28"/>
                <w:szCs w:val="28"/>
              </w:rPr>
              <w:t xml:space="preserve">APPLY</w:t>
            </w:r>
          </w:p>
        </w:tc>
      </w:tr>
    </w:tbl>
    <w:p>
      <w:pPr>
        <w:spacing w:after="20" w:before="20"/>
      </w:pPr>
    </w:p>
    <w:p>
      <w:pPr>
        <w:spacing w:after="20" w:before="20"/>
      </w:pPr>
    </w:p>
    <w:tbl>
      <w:tblPr>
        <w:tblW w:type="dxa" w:w="18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800"/>
      </w:tblGrid>
      <w:tr>
        <w:tc>
          <w:tcPr>
            <w:tcW w:type="dxa" w:w="18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E8F5E9" w:color="auto" w:val="clear"/>
            <w:tcMar>
              <w:top w:type="dxa" w:w="40"/>
              <w:left w:type="dxa" w:w="140"/>
              <w:bottom w:type="dxa" w:w="40"/>
              <w:right w:type="dxa" w:w="140"/>
            </w:tcMar>
            <w:vAlign w:val="center"/>
          </w:tcPr>
          <w:p>
            <w:pPr>
              <w:pBdr>
                <w:left w:val="single" w:color="FFD700" w:sz="24"/>
              </w:pBdr>
              <w:jc w:val="center"/>
            </w:pPr>
            <w:r>
              <w:rPr>
                <w:b/>
                <w:bCs/>
                <w:color w:val="1E5C2D"/>
                <w:sz w:val="18"/>
                <w:szCs w:val="18"/>
              </w:rPr>
              <w:t xml:space="preserve">Developing</w:t>
            </w:r>
          </w:p>
        </w:tc>
      </w:tr>
    </w:tbl>
    <w:p>
      <w:pPr>
        <w:spacing w:after="20" w:before="20"/>
      </w:pPr>
      <w:r>
        <w:rPr>
          <w:b/>
          <w:bCs/>
          <w:sz w:val="24"/>
          <w:szCs w:val="24"/>
        </w:rPr>
        <w:t xml:space="preserve">Q1  </w:t>
      </w:r>
      <w:r>
        <w:rPr>
          <w:sz w:val="24"/>
          <w:szCs w:val="24"/>
        </w:rPr>
        <w:t xml:space="preserve">State what indicative content means.</w:t>
      </w:r>
    </w:p>
    <w:tbl>
      <w:tblPr>
        <w:tblW w:type="dxa" w:w="1010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20"/>
        <w:gridCol w:w="9986"/>
      </w:tblGrid>
      <w:tr>
        <w:tc>
          <w:tcPr>
            <w:tcW w:type="dxa" w:w="12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D1B5E" w:color="auto" w:val="clear"/>
            <w:vAlign w:val="center"/>
          </w:tcPr>
          <w:p/>
        </w:tc>
        <w:tc>
          <w:tcPr>
            <w:tcW w:type="dxa" w:w="9986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3F6FC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b/>
                <w:bCs/>
                <w:color w:val="0D1B5E"/>
                <w:sz w:val="20"/>
                <w:szCs w:val="20"/>
              </w:rPr>
              <w:t xml:space="preserve">Model answer:  </w:t>
            </w:r>
            <w:r>
              <w:rPr>
                <w:sz w:val="22"/>
                <w:szCs w:val="22"/>
              </w:rPr>
              <w:t xml:space="preserve">The marking points an answer could contain</w:t>
            </w:r>
          </w:p>
        </w:tc>
      </w:tr>
    </w:tbl>
    <w:p>
      <w:pPr>
        <w:spacing w:after="20" w:before="20"/>
      </w:pPr>
    </w:p>
    <w:p>
      <w:pPr>
        <w:spacing w:after="20" w:before="20"/>
      </w:pPr>
      <w:r>
        <w:rPr>
          <w:b/>
          <w:bCs/>
          <w:sz w:val="24"/>
          <w:szCs w:val="24"/>
        </w:rPr>
        <w:t xml:space="preserve">Q2  </w:t>
      </w:r>
      <w:r>
        <w:rPr>
          <w:sz w:val="24"/>
          <w:szCs w:val="24"/>
        </w:rPr>
        <w:t xml:space="preserve">Give the unit of rate by gas volume.</w:t>
      </w:r>
    </w:p>
    <w:tbl>
      <w:tblPr>
        <w:tblW w:type="dxa" w:w="1010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20"/>
        <w:gridCol w:w="9986"/>
      </w:tblGrid>
      <w:tr>
        <w:tc>
          <w:tcPr>
            <w:tcW w:type="dxa" w:w="12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D1B5E" w:color="auto" w:val="clear"/>
            <w:vAlign w:val="center"/>
          </w:tcPr>
          <w:p/>
        </w:tc>
        <w:tc>
          <w:tcPr>
            <w:tcW w:type="dxa" w:w="9986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3F6FC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b/>
                <w:bCs/>
                <w:color w:val="0D1B5E"/>
                <w:sz w:val="20"/>
                <w:szCs w:val="20"/>
              </w:rPr>
              <w:t xml:space="preserve">Model answer:  </w:t>
            </w:r>
            <w:r>
              <w:rPr>
                <w:sz w:val="22"/>
                <w:szCs w:val="22"/>
              </w:rPr>
              <w:t xml:space="preserve">cm3/s</w:t>
            </w:r>
          </w:p>
        </w:tc>
      </w:tr>
    </w:tbl>
    <w:p>
      <w:pPr>
        <w:spacing w:after="20" w:before="20"/>
      </w:pPr>
    </w:p>
    <w:p>
      <w:pPr>
        <w:spacing w:after="20" w:before="20"/>
      </w:pPr>
      <w:r>
        <w:rPr>
          <w:b/>
          <w:bCs/>
          <w:sz w:val="24"/>
          <w:szCs w:val="24"/>
        </w:rPr>
        <w:t xml:space="preserve">Q3  </w:t>
      </w:r>
      <w:r>
        <w:rPr>
          <w:sz w:val="24"/>
          <w:szCs w:val="24"/>
        </w:rPr>
        <w:t xml:space="preserve">State one thing that never earns a mark.</w:t>
      </w:r>
    </w:p>
    <w:tbl>
      <w:tblPr>
        <w:tblW w:type="dxa" w:w="1010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20"/>
        <w:gridCol w:w="9986"/>
      </w:tblGrid>
      <w:tr>
        <w:tc>
          <w:tcPr>
            <w:tcW w:type="dxa" w:w="12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D1B5E" w:color="auto" w:val="clear"/>
            <w:vAlign w:val="center"/>
          </w:tcPr>
          <w:p/>
        </w:tc>
        <w:tc>
          <w:tcPr>
            <w:tcW w:type="dxa" w:w="9986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3F6FC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b/>
                <w:bCs/>
                <w:color w:val="0D1B5E"/>
                <w:sz w:val="20"/>
                <w:szCs w:val="20"/>
              </w:rPr>
              <w:t xml:space="preserve">Model answer:  </w:t>
            </w:r>
            <w:r>
              <w:rPr>
                <w:sz w:val="22"/>
                <w:szCs w:val="22"/>
              </w:rPr>
              <w:t xml:space="preserve">Repeating the question wording</w:t>
            </w:r>
          </w:p>
        </w:tc>
      </w:tr>
    </w:tbl>
    <w:p>
      <w:pPr>
        <w:spacing w:after="20" w:before="20"/>
      </w:pPr>
    </w:p>
    <w:p>
      <w:pPr>
        <w:spacing w:after="20" w:before="20"/>
      </w:pPr>
    </w:p>
    <w:tbl>
      <w:tblPr>
        <w:tblW w:type="dxa" w:w="18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800"/>
      </w:tblGrid>
      <w:tr>
        <w:tc>
          <w:tcPr>
            <w:tcW w:type="dxa" w:w="18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3E0" w:color="auto" w:val="clear"/>
            <w:tcMar>
              <w:top w:type="dxa" w:w="40"/>
              <w:left w:type="dxa" w:w="140"/>
              <w:bottom w:type="dxa" w:w="40"/>
              <w:right w:type="dxa" w:w="140"/>
            </w:tcMar>
            <w:vAlign w:val="center"/>
          </w:tcPr>
          <w:p>
            <w:pPr>
              <w:pBdr>
                <w:left w:val="single" w:color="FFD700" w:sz="24"/>
              </w:pBdr>
              <w:jc w:val="center"/>
            </w:pPr>
            <w:r>
              <w:rPr>
                <w:b/>
                <w:bCs/>
                <w:color w:val="C05A00"/>
                <w:sz w:val="18"/>
                <w:szCs w:val="18"/>
              </w:rPr>
              <w:t xml:space="preserve">Reaching</w:t>
            </w:r>
          </w:p>
        </w:tc>
      </w:tr>
    </w:tbl>
    <w:p>
      <w:pPr>
        <w:spacing w:after="20" w:before="20"/>
      </w:pPr>
      <w:r>
        <w:rPr>
          <w:b/>
          <w:bCs/>
          <w:sz w:val="24"/>
          <w:szCs w:val="24"/>
        </w:rPr>
        <w:t xml:space="preserve">Q1  </w:t>
      </w:r>
      <w:r>
        <w:rPr>
          <w:sz w:val="24"/>
          <w:szCs w:val="24"/>
        </w:rPr>
        <w:t xml:space="preserve">Explain why a mark scheme lists 'do not accept' wording.</w:t>
      </w:r>
    </w:p>
    <w:tbl>
      <w:tblPr>
        <w:tblW w:type="dxa" w:w="1010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20"/>
        <w:gridCol w:w="9986"/>
      </w:tblGrid>
      <w:tr>
        <w:tc>
          <w:tcPr>
            <w:tcW w:type="dxa" w:w="12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D1B5E" w:color="auto" w:val="clear"/>
            <w:vAlign w:val="center"/>
          </w:tcPr>
          <w:p/>
        </w:tc>
        <w:tc>
          <w:tcPr>
            <w:tcW w:type="dxa" w:w="9986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3F6FC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b/>
                <w:bCs/>
                <w:color w:val="0D1B5E"/>
                <w:sz w:val="20"/>
                <w:szCs w:val="20"/>
              </w:rPr>
              <w:t xml:space="preserve">Model answer:  </w:t>
            </w:r>
            <w:r>
              <w:rPr>
                <w:sz w:val="22"/>
                <w:szCs w:val="22"/>
              </w:rPr>
              <w:t xml:space="preserve">Those answers show a misconception even if they sound right</w:t>
            </w:r>
          </w:p>
        </w:tc>
      </w:tr>
    </w:tbl>
    <w:p>
      <w:pPr>
        <w:spacing w:after="20" w:before="20"/>
      </w:pPr>
    </w:p>
    <w:p>
      <w:pPr>
        <w:spacing w:after="20" w:before="20"/>
      </w:pPr>
      <w:r>
        <w:rPr>
          <w:b/>
          <w:bCs/>
          <w:sz w:val="24"/>
          <w:szCs w:val="24"/>
        </w:rPr>
        <w:t xml:space="preserve">Q2  </w:t>
      </w:r>
      <w:r>
        <w:rPr>
          <w:sz w:val="24"/>
          <w:szCs w:val="24"/>
        </w:rPr>
        <w:t xml:space="preserve">Explain what error carried forward allows.</w:t>
      </w:r>
    </w:p>
    <w:tbl>
      <w:tblPr>
        <w:tblW w:type="dxa" w:w="1010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20"/>
        <w:gridCol w:w="9986"/>
      </w:tblGrid>
      <w:tr>
        <w:tc>
          <w:tcPr>
            <w:tcW w:type="dxa" w:w="12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D1B5E" w:color="auto" w:val="clear"/>
            <w:vAlign w:val="center"/>
          </w:tcPr>
          <w:p/>
        </w:tc>
        <w:tc>
          <w:tcPr>
            <w:tcW w:type="dxa" w:w="9986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3F6FC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b/>
                <w:bCs/>
                <w:color w:val="0D1B5E"/>
                <w:sz w:val="20"/>
                <w:szCs w:val="20"/>
              </w:rPr>
              <w:t xml:space="preserve">Model answer:  </w:t>
            </w:r>
            <w:r>
              <w:rPr>
                <w:sz w:val="22"/>
                <w:szCs w:val="22"/>
              </w:rPr>
              <w:t xml:space="preserve">Later marks are still given for correct method after an earlier slip</w:t>
            </w:r>
          </w:p>
        </w:tc>
      </w:tr>
    </w:tbl>
    <w:p>
      <w:pPr>
        <w:spacing w:after="20" w:before="20"/>
      </w:pPr>
    </w:p>
    <w:p>
      <w:pPr>
        <w:spacing w:after="20" w:before="20"/>
      </w:pPr>
      <w:r>
        <w:rPr>
          <w:b/>
          <w:bCs/>
          <w:sz w:val="24"/>
          <w:szCs w:val="24"/>
        </w:rPr>
        <w:t xml:space="preserve">Q3  </w:t>
      </w:r>
      <w:r>
        <w:rPr>
          <w:sz w:val="24"/>
          <w:szCs w:val="24"/>
        </w:rPr>
        <w:t xml:space="preserve">Describe the difference between Level 2 and Level 3 here.</w:t>
      </w:r>
    </w:p>
    <w:tbl>
      <w:tblPr>
        <w:tblW w:type="dxa" w:w="1010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20"/>
        <w:gridCol w:w="9986"/>
      </w:tblGrid>
      <w:tr>
        <w:tc>
          <w:tcPr>
            <w:tcW w:type="dxa" w:w="12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D1B5E" w:color="auto" w:val="clear"/>
            <w:vAlign w:val="center"/>
          </w:tcPr>
          <w:p/>
        </w:tc>
        <w:tc>
          <w:tcPr>
            <w:tcW w:type="dxa" w:w="9986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3F6FC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b/>
                <w:bCs/>
                <w:color w:val="0D1B5E"/>
                <w:sz w:val="20"/>
                <w:szCs w:val="20"/>
              </w:rPr>
              <w:t xml:space="preserve">Model answer:  </w:t>
            </w:r>
            <w:r>
              <w:rPr>
                <w:sz w:val="22"/>
                <w:szCs w:val="22"/>
              </w:rPr>
              <w:t xml:space="preserve">Level 3 links surface area to both rate and unchanged yield</w:t>
            </w:r>
          </w:p>
        </w:tc>
      </w:tr>
    </w:tbl>
    <w:p>
      <w:pPr>
        <w:spacing w:after="20" w:before="20"/>
      </w:pPr>
    </w:p>
    <w:p>
      <w:pPr>
        <w:spacing w:after="20" w:before="20"/>
      </w:pPr>
    </w:p>
    <w:tbl>
      <w:tblPr>
        <w:tblW w:type="dxa" w:w="18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800"/>
      </w:tblGrid>
      <w:tr>
        <w:tc>
          <w:tcPr>
            <w:tcW w:type="dxa" w:w="18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EBEE" w:color="auto" w:val="clear"/>
            <w:tcMar>
              <w:top w:type="dxa" w:w="40"/>
              <w:left w:type="dxa" w:w="140"/>
              <w:bottom w:type="dxa" w:w="40"/>
              <w:right w:type="dxa" w:w="140"/>
            </w:tcMar>
            <w:vAlign w:val="center"/>
          </w:tcPr>
          <w:p>
            <w:pPr>
              <w:pBdr>
                <w:left w:val="single" w:color="FFD700" w:sz="24"/>
              </w:pBdr>
              <w:jc w:val="center"/>
            </w:pPr>
            <w:r>
              <w:rPr>
                <w:b/>
                <w:bCs/>
                <w:color w:val="9B1B1B"/>
                <w:sz w:val="18"/>
                <w:szCs w:val="18"/>
              </w:rPr>
              <w:t xml:space="preserve">Mastering</w:t>
            </w:r>
          </w:p>
        </w:tc>
      </w:tr>
    </w:tbl>
    <w:p>
      <w:pPr>
        <w:spacing w:after="20" w:before="20"/>
      </w:pPr>
      <w:r>
        <w:rPr>
          <w:b/>
          <w:bCs/>
          <w:sz w:val="24"/>
          <w:szCs w:val="24"/>
        </w:rPr>
        <w:t xml:space="preserve">Q1  </w:t>
      </w:r>
      <w:r>
        <w:rPr>
          <w:sz w:val="24"/>
          <w:szCs w:val="24"/>
        </w:rPr>
        <w:t xml:space="preserve">Mark Student C's answer and justify your decision using the mark scheme.</w:t>
      </w:r>
    </w:p>
    <w:tbl>
      <w:tblPr>
        <w:tblW w:type="dxa" w:w="1010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20"/>
        <w:gridCol w:w="9986"/>
      </w:tblGrid>
      <w:tr>
        <w:tc>
          <w:tcPr>
            <w:tcW w:type="dxa" w:w="12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D1B5E" w:color="auto" w:val="clear"/>
            <w:vAlign w:val="center"/>
          </w:tcPr>
          <w:p/>
        </w:tc>
        <w:tc>
          <w:tcPr>
            <w:tcW w:type="dxa" w:w="9986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3F6FC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b/>
                <w:bCs/>
                <w:color w:val="0D1B5E"/>
                <w:sz w:val="20"/>
                <w:szCs w:val="20"/>
              </w:rPr>
              <w:t xml:space="preserve">Model answer:  </w:t>
            </w:r>
            <w:r>
              <w:rPr>
                <w:sz w:val="22"/>
                <w:szCs w:val="22"/>
              </w:rPr>
              <w:t xml:space="preserve">Level 1, 1 mark. The outcome is right but the mechanism given is the temperature explanation, which the scheme excludes</w:t>
            </w:r>
          </w:p>
        </w:tc>
      </w:tr>
    </w:tbl>
    <w:p>
      <w:pPr>
        <w:spacing w:after="20" w:before="20"/>
      </w:pPr>
    </w:p>
    <w:p>
      <w:pPr>
        <w:spacing w:after="20" w:before="20"/>
      </w:pPr>
      <w:r>
        <w:rPr>
          <w:b/>
          <w:bCs/>
          <w:sz w:val="24"/>
          <w:szCs w:val="24"/>
        </w:rPr>
        <w:t xml:space="preserve">Q2  </w:t>
      </w:r>
      <w:r>
        <w:rPr>
          <w:sz w:val="24"/>
          <w:szCs w:val="24"/>
        </w:rPr>
        <w:t xml:space="preserve">Rewrite Student A's answer so it would reach Level 3.</w:t>
      </w:r>
    </w:p>
    <w:tbl>
      <w:tblPr>
        <w:tblW w:type="dxa" w:w="1010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20"/>
        <w:gridCol w:w="9986"/>
      </w:tblGrid>
      <w:tr>
        <w:tc>
          <w:tcPr>
            <w:tcW w:type="dxa" w:w="12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D1B5E" w:color="auto" w:val="clear"/>
            <w:vAlign w:val="center"/>
          </w:tcPr>
          <w:p/>
        </w:tc>
        <w:tc>
          <w:tcPr>
            <w:tcW w:type="dxa" w:w="9986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3F6FC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b/>
                <w:bCs/>
                <w:color w:val="0D1B5E"/>
                <w:sz w:val="20"/>
                <w:szCs w:val="20"/>
              </w:rPr>
              <w:t xml:space="preserve">Model answer:  </w:t>
            </w:r>
            <w:r>
              <w:rPr>
                <w:sz w:val="22"/>
                <w:szCs w:val="22"/>
              </w:rPr>
              <w:t xml:space="preserve">Add particles per volume, closer together, more frequent collisions, and the unchanged total yield</w:t>
            </w:r>
          </w:p>
        </w:tc>
      </w:tr>
    </w:tbl>
    <w:p>
      <w:pPr>
        <w:spacing w:after="20" w:before="20"/>
      </w:pPr>
    </w:p>
    <w:p>
      <w:pPr>
        <w:spacing w:after="20" w:before="20"/>
      </w:pPr>
      <w:r>
        <w:rPr>
          <w:b/>
          <w:bCs/>
          <w:sz w:val="24"/>
          <w:szCs w:val="24"/>
        </w:rPr>
        <w:t xml:space="preserve">Q3  </w:t>
      </w:r>
      <w:r>
        <w:rPr>
          <w:sz w:val="24"/>
          <w:szCs w:val="24"/>
        </w:rPr>
        <w:t xml:space="preserve">Explain why band marking suits a 6 mark explanation but not a calculation.</w:t>
      </w:r>
    </w:p>
    <w:tbl>
      <w:tblPr>
        <w:tblW w:type="dxa" w:w="1010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20"/>
        <w:gridCol w:w="9986"/>
      </w:tblGrid>
      <w:tr>
        <w:tc>
          <w:tcPr>
            <w:tcW w:type="dxa" w:w="12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D1B5E" w:color="auto" w:val="clear"/>
            <w:vAlign w:val="center"/>
          </w:tcPr>
          <w:p/>
        </w:tc>
        <w:tc>
          <w:tcPr>
            <w:tcW w:type="dxa" w:w="9986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3F6FC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b/>
                <w:bCs/>
                <w:color w:val="0D1B5E"/>
                <w:sz w:val="20"/>
                <w:szCs w:val="20"/>
              </w:rPr>
              <w:t xml:space="preserve">Model answer:  </w:t>
            </w:r>
            <w:r>
              <w:rPr>
                <w:sz w:val="22"/>
                <w:szCs w:val="22"/>
              </w:rPr>
              <w:t xml:space="preserve">Explanations vary in quality across a range, calculations are either correct at each step or not</w:t>
            </w:r>
          </w:p>
        </w:tc>
      </w:tr>
    </w:tbl>
    <w:p>
      <w:pPr>
        <w:spacing w:after="20" w:before="20"/>
      </w:pP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entury Gothic" w:cs="Century Gothic" w:eastAsia="Century Gothic" w:hAnsi="Century Gothic"/>
        <w:sz w:val="22"/>
        <w:szCs w:val="22"/>
      </w:rPr>
    </w:rPrDefault>
    <w:pPrDefault>
      <w:pPr>
        <w:spacing w:line="36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368c93b957250ba12ebec414fe8aa4a8823bc738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2026-10-02T21:21:08.830Z</dcterms:created>
  <dcterms:modified xsi:type="dcterms:W3CDTF">2026-10-02T21:21:08.830Z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