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64198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color w:val="0D1B5E"/>
          <w:sz w:val="36"/>
          <w:szCs w:val="36"/>
        </w:rPr>
        <w:t xml:space="preserve">Reference E: whiteboard and untiered review</w:t>
      </w:r>
    </w:p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106"/>
      </w:tblGrid>
      <w:tr>
        <w:tc>
          <w:tcPr>
            <w:tcW w:type="dxa" w:w="10106"/>
            <w:tcBorders>
              <w:top w:val="none" w:color="auto" w:sz="0"/>
              <w:left w:val="single" w:color="0D1B5E" w:sz="36"/>
              <w:bottom w:val="none" w:color="auto" w:sz="0"/>
              <w:right w:val="none" w:color="auto" w:sz="0"/>
            </w:tcBorders>
            <w:shd w:fill="E0E6F5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0D1B5E"/>
                <w:sz w:val="28"/>
                <w:szCs w:val="28"/>
              </w:rPr>
              <w:t xml:space="preserve">DO NOW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076"/>
        <w:gridCol w:w="2030"/>
      </w:tblGrid>
      <w:tr>
        <w:trPr>
          <w:trHeight w:val="1440"/>
        </w:trPr>
        <w:tc>
          <w:tcPr>
            <w:tcW w:type="dxa" w:w="807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0"/>
              <w:bottom w:type="dxa" w:w="40"/>
              <w:right w:type="dxa" w:w="18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Q1  </w:t>
            </w:r>
            <w:r>
              <w:rPr>
                <w:sz w:val="24"/>
                <w:szCs w:val="24"/>
              </w:rPr>
              <w:t xml:space="preserve">What does the M in MRS GREN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Q2  </w:t>
            </w:r>
            <w:r>
              <w:rPr>
                <w:sz w:val="24"/>
                <w:szCs w:val="24"/>
              </w:rPr>
              <w:t xml:space="preserve">What does the R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Q3  </w:t>
            </w:r>
            <w:r>
              <w:rPr>
                <w:sz w:val="24"/>
                <w:szCs w:val="24"/>
              </w:rPr>
              <w:t xml:space="preserve">What does the S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  <w:r>
              <w:rPr>
                <w:sz w:val="24"/>
                <w:szCs w:val="24"/>
              </w:rPr>
              <w:t xml:space="preserve">What does the G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Q5  </w:t>
            </w:r>
            <w:r>
              <w:rPr>
                <w:sz w:val="24"/>
                <w:szCs w:val="24"/>
              </w:rPr>
              <w:t xml:space="preserve">What does the E stand for?</w:t>
            </w:r>
          </w:p>
          <w:p>
            <w:pPr>
              <w:spacing w:after="20" w:before="20"/>
            </w:pPr>
            <w:r>
              <w:rPr>
                <w:b/>
                <w:bCs/>
                <w:sz w:val="24"/>
                <w:szCs w:val="24"/>
              </w:rPr>
              <w:t xml:space="preserve">Q6  </w:t>
            </w:r>
            <w:r>
              <w:rPr>
                <w:sz w:val="24"/>
                <w:szCs w:val="24"/>
              </w:rPr>
              <w:t xml:space="preserve">What does the N stand for?</w:t>
            </w:r>
          </w:p>
        </w:tc>
        <w:tc>
          <w:tcPr>
            <w:tcW w:type="dxa" w:w="2030"/>
            <w:tcBorders>
              <w:top w:val="single" w:color="FABB2E" w:sz="6"/>
              <w:left w:val="single" w:color="FABB2E" w:sz="6"/>
              <w:bottom w:val="single" w:color="FABB2E" w:sz="6"/>
              <w:right w:val="single" w:color="FABB2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0D1B5E"/>
                <w:sz w:val="22"/>
                <w:szCs w:val="22"/>
              </w:rPr>
              <w:t xml:space="preserve">Key words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MRS GREN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respiration</w:t>
            </w:r>
          </w:p>
          <w:p>
            <w:pPr>
              <w:spacing w:after="20" w:before="20"/>
            </w:pPr>
            <w:r>
              <w:rPr>
                <w:sz w:val="22"/>
                <w:szCs w:val="22"/>
              </w:rPr>
              <w:t xml:space="preserve">•  excretion</w:t>
            </w:r>
          </w:p>
        </w:tc>
      </w:tr>
    </w:tbl>
    <w:p>
      <w:pPr>
        <w:spacing w:after="20" w:before="20"/>
      </w:pPr>
    </w:p>
    <w:tbl>
      <w:tblPr>
        <w:tblW w:type="dxa" w:w="101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506"/>
        <w:gridCol w:w="5600"/>
      </w:tblGrid>
      <w:tr>
        <w:tc>
          <w:tcPr>
            <w:tcW w:type="dxa" w:w="4506"/>
            <w:tcBorders>
              <w:top w:val="none" w:color="auto" w:sz="0"/>
              <w:left w:val="single" w:color="B71C1C" w:sz="36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60"/>
              <w:left w:type="dxa" w:w="1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B71C1C"/>
                <w:sz w:val="28"/>
                <w:szCs w:val="28"/>
              </w:rPr>
              <w:t xml:space="preserve">APPLY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3366" w:color="auto" w:val="clear"/>
            <w:tcMar>
              <w:top w:type="dxa" w:w="60"/>
              <w:left w:type="dxa" w:w="100"/>
              <w:bottom w:type="dxa" w:w="6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D700"/>
                <w:sz w:val="18"/>
                <w:szCs w:val="18"/>
              </w:rPr>
              <w:t xml:space="preserve">Read more — Activate 2, pp. 30–32</w:t>
            </w:r>
          </w:p>
        </w:tc>
      </w:tr>
    </w:tbl>
    <w:p>
      <w:pPr>
        <w:spacing w:after="20" w:before="20"/>
      </w:pP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8F5E9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1E5C2D"/>
                <w:sz w:val="18"/>
                <w:szCs w:val="18"/>
              </w:rPr>
              <w:t xml:space="preserve">Developing</w:t>
            </w:r>
          </w:p>
        </w:tc>
      </w:tr>
    </w:tbl>
    <w:p>
      <w:pPr>
        <w:spacing w:after="20" w:before="20"/>
      </w:pPr>
      <w:r>
        <w:rPr>
          <w:b/>
          <w:bCs/>
          <w:color w:val="1E5C2D"/>
          <w:sz w:val="22"/>
          <w:szCs w:val="22"/>
        </w:rPr>
        <w:t xml:space="preserve">Word bank: </w:t>
      </w:r>
      <w:r>
        <w:rPr>
          <w:color w:val="1E5C2D"/>
          <w:sz w:val="22"/>
          <w:szCs w:val="22"/>
        </w:rPr>
        <w:t xml:space="preserve">MRS GREN</w:t>
      </w:r>
      <w:r>
        <w:rPr>
          <w:color w:val="1E5C2D"/>
          <w:sz w:val="22"/>
          <w:szCs w:val="22"/>
        </w:rPr>
        <w:t xml:space="preserve"> · </w:t>
      </w:r>
      <w:r>
        <w:rPr>
          <w:color w:val="1E5C2D"/>
          <w:sz w:val="22"/>
          <w:szCs w:val="22"/>
        </w:rPr>
        <w:t xml:space="preserve">respiration</w:t>
      </w:r>
      <w:r>
        <w:rPr>
          <w:color w:val="1E5C2D"/>
          <w:sz w:val="22"/>
          <w:szCs w:val="22"/>
        </w:rPr>
        <w:t xml:space="preserve"> · </w:t>
      </w:r>
      <w:r>
        <w:rPr>
          <w:color w:val="1E5C2D"/>
          <w:sz w:val="22"/>
          <w:szCs w:val="22"/>
        </w:rPr>
        <w:t xml:space="preserve">excretion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List the seven life processes.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Name the process that makes new organisms.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Name the process that takes in food.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F3E0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C05A00"/>
                <w:sz w:val="18"/>
                <w:szCs w:val="18"/>
              </w:rPr>
              <w:t xml:space="preserve">Reaching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Explain the difference between excretion and egestion.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a car is not alive even though it moves.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Give one life process a seed carries out before germinating.</w:t>
      </w:r>
    </w:p>
    <w:p>
      <w:pPr>
        <w:spacing w:after="20" w:before="20"/>
      </w:pPr>
    </w:p>
    <w:tbl>
      <w:tblPr>
        <w:tblW w:type="dxa" w:w="1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800"/>
      </w:tblGrid>
      <w:tr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EBEE" w:color="auto" w:val="clear"/>
            <w:tcMar>
              <w:top w:type="dxa" w:w="40"/>
              <w:left w:type="dxa" w:w="140"/>
              <w:bottom w:type="dxa" w:w="40"/>
              <w:right w:type="dxa" w:w="140"/>
            </w:tcMar>
            <w:vAlign w:val="center"/>
          </w:tcPr>
          <w:p>
            <w:pPr>
              <w:pBdr>
                <w:left w:val="single" w:color="FFD700" w:sz="24"/>
              </w:pBdr>
              <w:jc w:val="center"/>
            </w:pPr>
            <w:r>
              <w:rPr>
                <w:b/>
                <w:bCs/>
                <w:color w:val="9B1B1B"/>
                <w:sz w:val="18"/>
                <w:szCs w:val="18"/>
              </w:rPr>
              <w:t xml:space="preserve">Mastering</w:t>
            </w:r>
          </w:p>
        </w:tc>
      </w:tr>
    </w:tbl>
    <w:p>
      <w:pPr>
        <w:spacing w:after="20" w:before="20"/>
      </w:pPr>
      <w:r>
        <w:rPr>
          <w:b/>
          <w:bCs/>
          <w:sz w:val="24"/>
          <w:szCs w:val="24"/>
        </w:rPr>
        <w:t xml:space="preserve">Q1  </w:t>
      </w:r>
      <w:r>
        <w:rPr>
          <w:sz w:val="24"/>
          <w:szCs w:val="24"/>
        </w:rPr>
        <w:t xml:space="preserve">A student says a flame is alive because it moves, grows and needs oxygen. Evaluate this claim.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Q2  </w:t>
      </w:r>
      <w:r>
        <w:rPr>
          <w:sz w:val="24"/>
          <w:szCs w:val="24"/>
        </w:rPr>
        <w:t xml:space="preserve">Explain why viruses are hard to classify as living.</w:t>
      </w:r>
    </w:p>
    <w:p>
      <w:pPr>
        <w:spacing w:after="20" w:before="20"/>
      </w:pPr>
      <w:r>
        <w:rPr>
          <w:b/>
          <w:bCs/>
          <w:sz w:val="24"/>
          <w:szCs w:val="24"/>
        </w:rPr>
        <w:t xml:space="preserve">Q3  </w:t>
      </w:r>
      <w:r>
        <w:rPr>
          <w:sz w:val="24"/>
          <w:szCs w:val="24"/>
        </w:rPr>
        <w:t xml:space="preserve">Suggest how you would test whether a seed is respiring.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cs="Century Gothic" w:eastAsia="Century Gothic" w:hAnsi="Century Gothic"/>
        <w:sz w:val="22"/>
        <w:szCs w:val="22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8c93b957250ba12ebec414fe8aa4a8823bc73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2026-09-03T23:10:52.339Z</dcterms:created>
  <dcterms:modified xsi:type="dcterms:W3CDTF">2026-09-03T23:10:52.339Z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