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DE38" w14:textId="48FA6EF6" w:rsidR="00DD5D84" w:rsidRPr="00DD5D84" w:rsidRDefault="000A268B" w:rsidP="00DD5D84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  <w:r w:rsidR="00DD5D84">
        <w:rPr>
          <w:b/>
        </w:rPr>
        <w:t>,</w:t>
      </w:r>
      <w:r w:rsidR="00DD5D84">
        <w:rPr>
          <w:b/>
        </w:rPr>
        <w:br/>
        <w:t>Calculation Details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FF92727" w14:textId="5D34E69E" w:rsidR="00706EC3" w:rsidRDefault="00706EC3" w:rsidP="00DD5D84">
      <w:pPr>
        <w:pStyle w:val="Title"/>
      </w:pPr>
      <w:r>
        <w:t>Bent Normal</w:t>
      </w:r>
    </w:p>
    <w:p w14:paraId="51801C34" w14:textId="77777777" w:rsidR="00706EC3" w:rsidRPr="00706EC3" w:rsidRDefault="00706EC3" w:rsidP="00706EC3"/>
    <w:p w14:paraId="321D1CA3" w14:textId="7C17E374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6FB0B399" w14:textId="3D965A73" w:rsidR="00622839" w:rsidRPr="00622839" w:rsidRDefault="00622839" w:rsidP="00622839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78BC302" w14:textId="77777777" w:rsidR="00622839" w:rsidRPr="00622839" w:rsidRDefault="00622839" w:rsidP="00622839">
      <w:pPr>
        <w:ind w:left="-540" w:right="-540"/>
        <w:rPr>
          <w:rFonts w:eastAsiaTheme="minorEastAsia"/>
          <w:lang w:val="fr-FR"/>
        </w:rPr>
      </w:pPr>
    </w:p>
    <w:p w14:paraId="1AC90AEE" w14:textId="52D47733" w:rsidR="005A504C" w:rsidRDefault="002527FC" w:rsidP="005A504C">
      <w:pPr>
        <w:ind w:left="-540" w:right="-540"/>
      </w:pPr>
      <w:r>
        <w:t>Where:</w:t>
      </w:r>
    </w:p>
    <w:p w14:paraId="4786BA00" w14:textId="759D8831" w:rsidR="007327DF" w:rsidRPr="007327DF" w:rsidRDefault="00B27F2A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3BEDC5F4" w14:textId="52E2F330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 xml:space="preserve">N is the amount of </w:t>
      </w:r>
      <w:r w:rsidR="00BC0721">
        <w:t>hemispherical</w:t>
      </w:r>
      <w:r>
        <w:t xml:space="preserve"> samples</w:t>
      </w:r>
    </w:p>
    <w:p w14:paraId="734DDBD9" w14:textId="038A0B35" w:rsidR="002527FC" w:rsidRPr="002527FC" w:rsidRDefault="00B27F2A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sample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4A0F7659" w14:textId="61DCA214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surface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556A63A9" w14:textId="3E260CE9" w:rsidR="008A7DCE" w:rsidRDefault="00BC0721" w:rsidP="0051407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679863E2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7D17A18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 xml:space="preserve">e can compute the exact integral for equation </w:t>
      </w:r>
      <w:r w:rsidR="00BC0721">
        <w:t>4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1D6841AC" w:rsidR="00745758" w:rsidRPr="00041B51" w:rsidRDefault="00B27F2A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0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=back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∈[-π,0]</m:t>
          </m:r>
        </m:oMath>
      </m:oMathPara>
    </w:p>
    <w:p w14:paraId="1E66C8AE" w14:textId="717B08D1" w:rsidR="00041B51" w:rsidRPr="00241B83" w:rsidRDefault="00B27F2A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 xml:space="preserve">front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∈[0,π]</m:t>
          </m:r>
        </m:oMath>
      </m:oMathPara>
    </w:p>
    <w:p w14:paraId="180E3988" w14:textId="74C1D6C4" w:rsidR="00241B83" w:rsidRDefault="00241B83" w:rsidP="00041B51">
      <w:pPr>
        <w:ind w:right="-540"/>
        <w:rPr>
          <w:rFonts w:eastAsiaTheme="minorEastAsia"/>
        </w:rPr>
      </w:pPr>
    </w:p>
    <w:p w14:paraId="4B591E87" w14:textId="34F50EAA" w:rsidR="00241B83" w:rsidRDefault="00241B83" w:rsidP="00041B51">
      <w:pPr>
        <w:ind w:right="-540"/>
        <w:rPr>
          <w:rFonts w:eastAsiaTheme="minorEastAsia"/>
        </w:rPr>
      </w:pPr>
    </w:p>
    <w:p w14:paraId="38405FA2" w14:textId="09EF678C" w:rsidR="00241B83" w:rsidRPr="00041B51" w:rsidRDefault="00241B83" w:rsidP="00241B83">
      <w:pPr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060BEB8" w14:textId="1D044B36" w:rsidR="0021017A" w:rsidRDefault="00745758" w:rsidP="0021017A">
      <w:pPr>
        <w:ind w:left="-540" w:right="-540"/>
      </w:pPr>
      <w:r>
        <w:t xml:space="preserve">Equation </w:t>
      </w:r>
      <w:r w:rsidR="002367D4">
        <w:t>5</w:t>
      </w:r>
      <w:r>
        <w:t xml:space="preserve"> can be expanded into:</w:t>
      </w:r>
    </w:p>
    <w:p w14:paraId="60C5664D" w14:textId="77777777" w:rsidR="00AF287A" w:rsidRDefault="00AF287A" w:rsidP="00AF287A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0FF27DBB" w14:textId="77777777" w:rsidR="00AF287A" w:rsidRPr="00C77E95" w:rsidRDefault="00AF287A" w:rsidP="00AF287A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(θ-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4CE15AB" w14:textId="77777777" w:rsidR="00AF287A" w:rsidRDefault="00AF287A" w:rsidP="00AF287A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EE2C906" w14:textId="75AD3942" w:rsidR="00A932B8" w:rsidRDefault="00A932B8" w:rsidP="00A932B8">
      <w:pPr>
        <w:ind w:left="-540" w:right="-540"/>
      </w:pPr>
    </w:p>
    <w:p w14:paraId="26A1137A" w14:textId="77777777" w:rsidR="00CA4906" w:rsidRDefault="00CA4906" w:rsidP="00CA4906">
      <w:pPr>
        <w:ind w:left="-540" w:right="-540"/>
      </w:pPr>
      <w:r>
        <w:t>Similarly, equation 6 gives:</w:t>
      </w:r>
    </w:p>
    <w:p w14:paraId="5D7A2FE9" w14:textId="77777777" w:rsidR="00CA4906" w:rsidRDefault="00CA4906" w:rsidP="00CA490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338CD6CF" w14:textId="77777777" w:rsidR="00CA4906" w:rsidRDefault="00CA4906" w:rsidP="00CA490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D19A2E2" w14:textId="77777777" w:rsidR="00CA4906" w:rsidRDefault="00CA4906" w:rsidP="00CA490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(2-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17A9489" w14:textId="77777777" w:rsidR="00CA4906" w:rsidRDefault="00CA4906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3544E3A2" w14:textId="3DDD996C" w:rsidR="00A932B8" w:rsidRPr="002C7EF7" w:rsidRDefault="00B27F2A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887ED67" w14:textId="0E8290A7" w:rsidR="002C7EF7" w:rsidRDefault="002C7EF7" w:rsidP="002C7EF7">
      <w:pPr>
        <w:ind w:left="-540" w:right="-540"/>
      </w:pPr>
      <w:r>
        <w:t>Where:</w:t>
      </w:r>
    </w:p>
    <w:p w14:paraId="41F411A3" w14:textId="3CD880E3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</w:t>
      </w:r>
      <w:proofErr w:type="gramEnd"/>
    </w:p>
    <w:p w14:paraId="56419890" w14:textId="30C26484" w:rsidR="002C7EF7" w:rsidRPr="002C7EF7" w:rsidRDefault="00B27F2A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C7EF7">
        <w:rPr>
          <w:rFonts w:eastAsiaTheme="minorEastAsia"/>
        </w:rPr>
        <w:t xml:space="preserve"> values for the slice </w:t>
      </w:r>
      <m:oMath>
        <m:r>
          <w:rPr>
            <w:rFonts w:ascii="Cambria Math" w:hAnsi="Cambria Math"/>
          </w:rPr>
          <m:t>i</m:t>
        </m:r>
      </m:oMath>
    </w:p>
    <w:p w14:paraId="31AA7E5B" w14:textId="001AB06D" w:rsidR="002C7EF7" w:rsidRDefault="00B27F2A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2C7EF7">
        <w:rPr>
          <w:rFonts w:eastAsiaTheme="minorEastAsia"/>
        </w:rPr>
        <w:t xml:space="preserve"> are the camera-space slice vectors described by equation</w:t>
      </w:r>
      <w:r w:rsidR="00186407">
        <w:rPr>
          <w:rFonts w:eastAsiaTheme="minorEastAsia"/>
        </w:rPr>
        <w:t>s</w:t>
      </w:r>
      <w:r w:rsidR="007664BA">
        <w:rPr>
          <w:rFonts w:eastAsiaTheme="minorEastAsia"/>
        </w:rPr>
        <w:t xml:space="preserve"> group</w:t>
      </w:r>
      <w:r w:rsidR="002C7EF7">
        <w:rPr>
          <w:rFonts w:eastAsiaTheme="minorEastAsia"/>
        </w:rPr>
        <w:t xml:space="preserve"> </w:t>
      </w:r>
      <w:r w:rsidR="002B5DA2">
        <w:rPr>
          <w:rFonts w:eastAsiaTheme="minorEastAsia"/>
        </w:rPr>
        <w:t>(</w:t>
      </w:r>
      <w:r w:rsidR="002C7EF7">
        <w:rPr>
          <w:rFonts w:eastAsiaTheme="minorEastAsia"/>
        </w:rPr>
        <w:t>1</w:t>
      </w:r>
      <w:r w:rsidR="002B5DA2">
        <w:rPr>
          <w:rFonts w:eastAsiaTheme="minorEastAsia"/>
        </w:rPr>
        <w:t>)</w:t>
      </w:r>
    </w:p>
    <w:p w14:paraId="752F784E" w14:textId="77777777" w:rsidR="00DE4AFE" w:rsidRDefault="00DE4AFE" w:rsidP="00497C70">
      <w:pPr>
        <w:ind w:right="-540"/>
      </w:pPr>
    </w:p>
    <w:p w14:paraId="14F424AB" w14:textId="2D92CCE9" w:rsidR="00DE4AFE" w:rsidRDefault="00DE4AFE" w:rsidP="00DE4AFE">
      <w:pPr>
        <w:pStyle w:val="Title"/>
      </w:pPr>
      <w:r>
        <w:lastRenderedPageBreak/>
        <w:t>Bent Normal</w:t>
      </w:r>
      <w:r w:rsidR="001D44D6">
        <w:br/>
      </w:r>
      <w:r>
        <w:t>(old formulation with dot</w:t>
      </w:r>
      <w:r w:rsidR="001D44D6">
        <w:t xml:space="preserve"> product</w:t>
      </w:r>
      <w:r>
        <w:t>)</w:t>
      </w:r>
    </w:p>
    <w:p w14:paraId="35B6F3E2" w14:textId="7D8301C2" w:rsidR="00DE4AFE" w:rsidRDefault="00DE4AFE" w:rsidP="00DE4AFE">
      <w:pPr>
        <w:ind w:left="-540" w:right="-540"/>
      </w:pPr>
      <w:r>
        <w:t xml:space="preserve">Formerly, I tried to compute the bent normal by accounting </w:t>
      </w:r>
      <w:r w:rsidR="00E56DAD">
        <w:t>with the dot product with the normal</w:t>
      </w:r>
      <w:r>
        <w:t>:</w:t>
      </w:r>
    </w:p>
    <w:p w14:paraId="25E77C32" w14:textId="3C944270" w:rsidR="00622839" w:rsidRDefault="00622839" w:rsidP="00DE4AFE">
      <w:pPr>
        <w:ind w:left="-540" w:right="-540"/>
      </w:pPr>
    </w:p>
    <w:p w14:paraId="48DD7534" w14:textId="77777777" w:rsidR="00622839" w:rsidRPr="008A7DCE" w:rsidRDefault="00622839" w:rsidP="00622839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E62FD8" w14:textId="77777777" w:rsidR="00622839" w:rsidRDefault="00622839" w:rsidP="00622839">
      <w:pPr>
        <w:ind w:left="-540" w:right="-540"/>
      </w:pPr>
      <w:r>
        <w:t>Where:</w:t>
      </w:r>
    </w:p>
    <w:p w14:paraId="03C65727" w14:textId="77777777" w:rsidR="00622839" w:rsidRPr="007327DF" w:rsidRDefault="00622839" w:rsidP="00622839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is the resulting average “bent normal” (in camera </w:t>
      </w:r>
      <w:proofErr w:type="gramStart"/>
      <w:r>
        <w:rPr>
          <w:rFonts w:eastAsiaTheme="minorEastAsia"/>
        </w:rPr>
        <w:t>space)</w:t>
      </w:r>
      <w:proofErr w:type="gramEnd"/>
    </w:p>
    <w:p w14:paraId="6B0A1303" w14:textId="77777777" w:rsidR="00622839" w:rsidRDefault="00622839" w:rsidP="00622839">
      <w:pPr>
        <w:pStyle w:val="ListParagraph"/>
        <w:numPr>
          <w:ilvl w:val="0"/>
          <w:numId w:val="7"/>
        </w:numPr>
        <w:ind w:right="-540"/>
      </w:pPr>
      <w:r>
        <w:t>N is the amount of hemispherical samples</w:t>
      </w:r>
    </w:p>
    <w:p w14:paraId="7C883B7E" w14:textId="77777777" w:rsidR="00622839" w:rsidRPr="002527FC" w:rsidRDefault="00622839" w:rsidP="00622839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2527FC">
        <w:rPr>
          <w:rFonts w:eastAsiaTheme="minorEastAsia"/>
        </w:rPr>
        <w:t xml:space="preserve"> is th</w:t>
      </w:r>
      <w:r>
        <w:rPr>
          <w:rFonts w:eastAsiaTheme="minorEastAsia"/>
        </w:rPr>
        <w:t xml:space="preserve">e direction of the </w:t>
      </w:r>
      <w:proofErr w:type="spellStart"/>
      <w:r>
        <w:rPr>
          <w:rFonts w:eastAsiaTheme="minorEastAsia"/>
        </w:rPr>
        <w:t>i</w:t>
      </w:r>
      <w:r w:rsidRPr="002527FC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sample (in camera </w:t>
      </w:r>
      <w:proofErr w:type="gramStart"/>
      <w:r>
        <w:rPr>
          <w:rFonts w:eastAsiaTheme="minorEastAsia"/>
        </w:rPr>
        <w:t>space)</w:t>
      </w:r>
      <w:proofErr w:type="gramEnd"/>
    </w:p>
    <w:p w14:paraId="115F5613" w14:textId="77777777" w:rsidR="00622839" w:rsidRDefault="00622839" w:rsidP="0062283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 normal to the surface (in camera </w:t>
      </w:r>
      <w:proofErr w:type="gramStart"/>
      <w:r>
        <w:rPr>
          <w:rFonts w:eastAsiaTheme="minorEastAsia"/>
        </w:rPr>
        <w:t>space)</w:t>
      </w:r>
      <w:proofErr w:type="gramEnd"/>
    </w:p>
    <w:p w14:paraId="1EC585FA" w14:textId="1AB17FA5" w:rsidR="00622839" w:rsidRDefault="00622839" w:rsidP="00DE4AFE">
      <w:pPr>
        <w:ind w:left="-540" w:right="-540"/>
      </w:pPr>
    </w:p>
    <w:p w14:paraId="43DE8311" w14:textId="77777777" w:rsidR="007A4595" w:rsidRPr="00041B51" w:rsidRDefault="007A4595" w:rsidP="007A4595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EE6F51B" w14:textId="77777777" w:rsidR="007A4595" w:rsidRDefault="007A4595" w:rsidP="007A4595">
      <w:pPr>
        <w:ind w:left="-540" w:right="-540"/>
      </w:pPr>
      <w:r>
        <w:t>Equation 5 can be expanded into:</w:t>
      </w:r>
    </w:p>
    <w:p w14:paraId="588B952D" w14:textId="77777777" w:rsidR="00AF287A" w:rsidRDefault="00AF287A" w:rsidP="00AF287A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D65228D" w14:textId="77777777" w:rsidR="00CA4906" w:rsidRDefault="00CA4906" w:rsidP="00CA4906">
      <w:pPr>
        <w:ind w:left="-540" w:right="-540"/>
      </w:pPr>
    </w:p>
    <w:p w14:paraId="2BEB8850" w14:textId="77777777" w:rsidR="00CA4906" w:rsidRDefault="00CA4906" w:rsidP="00CA4906">
      <w:pPr>
        <w:ind w:left="-540" w:right="-540"/>
      </w:pPr>
      <w:r>
        <w:lastRenderedPageBreak/>
        <w:t>Similarly, equation 6 gives:</w:t>
      </w:r>
    </w:p>
    <w:p w14:paraId="11D67442" w14:textId="77777777" w:rsidR="00497C70" w:rsidRPr="00497C70" w:rsidRDefault="00CA4906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6B36B827" w14:textId="75B3EBDF" w:rsidR="00497C70" w:rsidRPr="00497C70" w:rsidRDefault="00497C70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11021324" w14:textId="1B33B5B1" w:rsidR="004A2E72" w:rsidRDefault="004A2E72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e>
          </m:d>
        </m:oMath>
      </m:oMathPara>
    </w:p>
    <w:p w14:paraId="768F9909" w14:textId="10977883" w:rsidR="008500AD" w:rsidRDefault="008500AD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05D9401B" w14:textId="4E282E93" w:rsidR="00CA4906" w:rsidRPr="00A932B8" w:rsidRDefault="00CA4906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7A935DB" w14:textId="0CD9EFC2" w:rsidR="004F1E33" w:rsidRDefault="004F1E33" w:rsidP="00885F56">
      <w:pPr>
        <w:ind w:left="-540" w:right="-540"/>
      </w:pPr>
    </w:p>
    <w:p w14:paraId="1FCFA5EB" w14:textId="5AE8DF29" w:rsidR="001A520D" w:rsidRDefault="0010364A" w:rsidP="00885F56">
      <w:pPr>
        <w:ind w:left="-540" w:right="-540"/>
      </w:pPr>
      <w:r>
        <w:t xml:space="preserve">The result is sharper and keeps hard edges since the bent normal is discontinuous at edges rather than a smooth continuation. I’m not sure which is best but the general consensus seems to be that </w:t>
      </w:r>
      <w:proofErr w:type="gramStart"/>
      <w:r>
        <w:t>the  bent</w:t>
      </w:r>
      <w:proofErr w:type="gramEnd"/>
      <w:r>
        <w:t xml:space="preserve"> normal just  doesn’t account for original normal…</w:t>
      </w:r>
    </w:p>
    <w:p w14:paraId="029CFFA7" w14:textId="5C085533" w:rsidR="002F2E99" w:rsidRDefault="002F2E99" w:rsidP="002F2E99">
      <w:pPr>
        <w:rPr>
          <w:lang w:val="fr-FR"/>
        </w:rPr>
      </w:pPr>
    </w:p>
    <w:p w14:paraId="264FD5A1" w14:textId="2EE77457" w:rsidR="00E82AD5" w:rsidRDefault="00E82AD5" w:rsidP="002F2E99">
      <w:pPr>
        <w:pStyle w:val="Title"/>
      </w:pPr>
      <w:r>
        <w:t>Cone Aperture</w:t>
      </w:r>
      <w:r w:rsidR="007852BB">
        <w:t xml:space="preserve"> and Ambient Occlusion</w:t>
      </w:r>
    </w:p>
    <w:p w14:paraId="4169AE62" w14:textId="1A81BEC5" w:rsidR="00885F56" w:rsidRDefault="009963D3" w:rsidP="00885F56">
      <w:pPr>
        <w:ind w:left="-540" w:right="-540"/>
      </w:pPr>
      <w:r>
        <w:t>Here we quickly detail equation 11:</w:t>
      </w:r>
    </w:p>
    <w:p w14:paraId="2877E26C" w14:textId="426E738B" w:rsidR="001C6EB8" w:rsidRPr="009F3905" w:rsidRDefault="00B27F2A" w:rsidP="00457990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74F6674F" w14:textId="1571E080" w:rsidR="009F3905" w:rsidRPr="00F43DE2" w:rsidRDefault="00B27F2A" w:rsidP="00457990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BF7235" w14:textId="77777777" w:rsidR="00885F56" w:rsidRDefault="00885F56" w:rsidP="002C7EF7">
      <w:pPr>
        <w:ind w:left="-540" w:right="-540"/>
      </w:pPr>
    </w:p>
    <w:p w14:paraId="21E06A11" w14:textId="2CAF27C0" w:rsidR="00AC58B0" w:rsidRPr="00AC58B0" w:rsidRDefault="00AC58B0" w:rsidP="00A235CB">
      <w:pPr>
        <w:pStyle w:val="Title"/>
      </w:pPr>
      <w:r>
        <w:t>Indirect Lighting</w:t>
      </w:r>
    </w:p>
    <w:p w14:paraId="14D6BA49" w14:textId="31C1321B" w:rsidR="001577A9" w:rsidRDefault="00A235CB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We detail here the computation of equation 16:</w:t>
      </w:r>
    </w:p>
    <w:p w14:paraId="232B052C" w14:textId="471FD00D" w:rsidR="00B22783" w:rsidRDefault="00B27F2A" w:rsidP="00C5107C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1" w:name="_Hlk505882898"/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w:bookmarkEnd w:id="1"/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n∙D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n∙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14:paraId="7556A422" w14:textId="27F8F3A7" w:rsidR="00B22783" w:rsidRPr="001577A9" w:rsidRDefault="00B27F2A" w:rsidP="00B22783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∆E=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504D" w:themeColor="accent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504D" w:themeColor="accent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504D" w:themeColor="accent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504D" w:themeColor="accent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504D" w:themeColor="accent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504D" w:themeColor="accent2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nary>
            </m:e>
          </m:eqArr>
        </m:oMath>
      </m:oMathPara>
    </w:p>
    <w:p w14:paraId="4E977D76" w14:textId="319904E7" w:rsidR="001577A9" w:rsidRPr="001577A9" w:rsidRDefault="00B22783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Assuming</w:t>
      </w:r>
      <w:r w:rsidR="004976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C0504D" w:themeColor="accent2"/>
              </w:rPr>
            </m:ctrlPr>
          </m:sSubPr>
          <m:e>
            <m:r>
              <w:rPr>
                <w:rFonts w:ascii="Cambria Math" w:hAnsi="Cambria Math"/>
                <w:color w:val="C0504D" w:themeColor="accent2"/>
              </w:rPr>
              <m:t>L</m:t>
            </m:r>
          </m:e>
          <m:sub>
            <m:r>
              <w:rPr>
                <w:rFonts w:ascii="Cambria Math" w:hAnsi="Cambria Math"/>
                <w:color w:val="C0504D" w:themeColor="accent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C0504D" w:themeColor="accent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C0504D" w:themeColor="accent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color w:val="C0504D" w:themeColor="accent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is constant for the entire interval then </w:t>
      </w:r>
      <m:oMath>
        <m:r>
          <w:rPr>
            <w:rFonts w:ascii="Cambria Math" w:hAnsi="Cambria Math"/>
          </w:rPr>
          <m:t>∆E</m:t>
        </m:r>
      </m:oMath>
      <w:r>
        <w:rPr>
          <w:rFonts w:eastAsiaTheme="minorEastAsia"/>
        </w:rPr>
        <w:t xml:space="preserve"> becomes:</w:t>
      </w:r>
    </w:p>
    <w:p w14:paraId="0AAEC8AB" w14:textId="4FFF4D29" w:rsidR="00B22783" w:rsidRPr="001577A9" w:rsidRDefault="00B27F2A" w:rsidP="00B22783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∆E=</m:t>
              </m:r>
              <m:sSub>
                <m:sSub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504D" w:themeColor="accent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C0504D" w:themeColor="accent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504D" w:themeColor="accent2"/>
                        </w:rPr>
                        <m:t>'</m:t>
                      </m:r>
                    </m:sup>
                  </m:sSup>
                </m:e>
              </m:d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62E2056C" w14:textId="26770CFA" w:rsidR="005743B3" w:rsidRDefault="00B22783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With:</w:t>
      </w:r>
    </w:p>
    <w:p w14:paraId="40398A91" w14:textId="06CEC426" w:rsidR="00B22783" w:rsidRDefault="00B27F2A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40C53" w:rsidRPr="00440C53">
        <w:rPr>
          <w:rFonts w:eastAsiaTheme="minorEastAsia"/>
        </w:rPr>
        <w:t xml:space="preserve"> </w:t>
      </w:r>
      <w:r w:rsidR="00497694">
        <w:rPr>
          <w:rFonts w:eastAsiaTheme="minorEastAsia"/>
        </w:rPr>
        <w:t xml:space="preserve">is </w:t>
      </w:r>
      <w:r w:rsidR="00440C53" w:rsidRPr="00440C53">
        <w:rPr>
          <w:rFonts w:eastAsiaTheme="minorEastAsia"/>
        </w:rPr>
        <w:t xml:space="preserve">our </w:t>
      </w:r>
      <w:r w:rsidR="00440C53">
        <w:rPr>
          <w:rFonts w:eastAsiaTheme="minorEastAsia"/>
        </w:rPr>
        <w:t>rotating incoming vector for the current</w:t>
      </w:r>
      <w:r w:rsidR="00497694">
        <w:rPr>
          <w:rFonts w:eastAsiaTheme="minorEastAsia"/>
        </w:rPr>
        <w:t xml:space="preserve"> </w:t>
      </w:r>
      <w:proofErr w:type="gramStart"/>
      <w:r w:rsidR="00497694">
        <w:rPr>
          <w:rFonts w:eastAsiaTheme="minorEastAsia"/>
        </w:rPr>
        <w:t>slice</w:t>
      </w:r>
      <w:proofErr w:type="gramEnd"/>
    </w:p>
    <w:p w14:paraId="45479E6A" w14:textId="55ADDCDD" w:rsidR="00497694" w:rsidRDefault="0049769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slice’s direction vector from equation </w:t>
      </w:r>
      <w:proofErr w:type="gramStart"/>
      <w:r>
        <w:rPr>
          <w:rFonts w:eastAsiaTheme="minorEastAsia"/>
        </w:rPr>
        <w:t>2</w:t>
      </w:r>
      <w:proofErr w:type="gramEnd"/>
    </w:p>
    <w:p w14:paraId="09FEE8A0" w14:textId="47F47FF3" w:rsidR="00497694" w:rsidRDefault="00B27F2A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497694">
        <w:rPr>
          <w:rFonts w:eastAsiaTheme="minorEastAsia"/>
        </w:rPr>
        <w:t xml:space="preserve"> is the normal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97694">
        <w:rPr>
          <w:rFonts w:eastAsiaTheme="minorEastAsia"/>
        </w:rPr>
        <w:t xml:space="preserve"> projected </w:t>
      </w:r>
      <w:r w:rsidR="00F75054">
        <w:rPr>
          <w:rFonts w:eastAsiaTheme="minorEastAsia"/>
        </w:rPr>
        <w:t>o</w:t>
      </w:r>
      <w:r w:rsidR="00497694">
        <w:rPr>
          <w:rFonts w:eastAsiaTheme="minorEastAsia"/>
        </w:rPr>
        <w:t xml:space="preserve">nto the </w:t>
      </w:r>
      <w:proofErr w:type="gramStart"/>
      <w:r w:rsidR="00497694">
        <w:rPr>
          <w:rFonts w:eastAsiaTheme="minorEastAsia"/>
        </w:rPr>
        <w:t>slice</w:t>
      </w:r>
      <w:proofErr w:type="gramEnd"/>
    </w:p>
    <w:p w14:paraId="6ECED984" w14:textId="39C71CE5" w:rsidR="00497694" w:rsidRDefault="00B27F2A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7694">
        <w:rPr>
          <w:rFonts w:eastAsiaTheme="minorEastAsia"/>
        </w:rPr>
        <w:t xml:space="preserve"> is the previous (i.e. lower) horizon angle</w:t>
      </w:r>
    </w:p>
    <w:p w14:paraId="26AC4EDD" w14:textId="5264B4B9" w:rsidR="00497694" w:rsidRDefault="00B27F2A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7694">
        <w:rPr>
          <w:rFonts w:eastAsiaTheme="minorEastAsia"/>
        </w:rPr>
        <w:t xml:space="preserve"> is the new (i.e. raised) horizon angle</w:t>
      </w:r>
    </w:p>
    <w:p w14:paraId="7C75F758" w14:textId="7D606FA2" w:rsidR="00497694" w:rsidRPr="00B22783" w:rsidRDefault="00B27F2A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C0504D" w:themeColor="accent2"/>
              </w:rPr>
            </m:ctrlPr>
          </m:sSubPr>
          <m:e>
            <m:r>
              <w:rPr>
                <w:rFonts w:ascii="Cambria Math" w:hAnsi="Cambria Math"/>
                <w:color w:val="C0504D" w:themeColor="accent2"/>
              </w:rPr>
              <m:t>L</m:t>
            </m:r>
          </m:e>
          <m:sub>
            <m:r>
              <w:rPr>
                <w:rFonts w:ascii="Cambria Math" w:hAnsi="Cambria Math"/>
                <w:color w:val="C0504D" w:themeColor="accent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C0504D" w:themeColor="accent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C0504D" w:themeColor="accent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color w:val="C0504D" w:themeColor="accent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497694">
        <w:rPr>
          <w:rFonts w:eastAsiaTheme="minorEastAsia"/>
        </w:rPr>
        <w:t xml:space="preserve">is the neighbor radiance sampled at the neighbor location </w:t>
      </w:r>
      <m:oMath>
        <m:sSup>
          <m:sSupPr>
            <m:ctrlPr>
              <w:rPr>
                <w:rFonts w:ascii="Cambria Math" w:hAnsi="Cambria Math"/>
                <w:color w:val="C0504D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C0504D" w:themeColor="accent2"/>
              </w:rPr>
              <m:t>x</m:t>
            </m:r>
            <m:ctrlPr>
              <w:rPr>
                <w:rFonts w:ascii="Cambria Math" w:hAnsi="Cambria Math"/>
                <w:b/>
                <w:i/>
                <w:color w:val="C0504D" w:themeColor="accent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C0504D" w:themeColor="accent2"/>
              </w:rPr>
              <m:t>'</m:t>
            </m:r>
          </m:sup>
        </m:sSup>
      </m:oMath>
      <w:r w:rsidR="00497694">
        <w:rPr>
          <w:rFonts w:eastAsiaTheme="minorEastAsia"/>
        </w:rPr>
        <w:t xml:space="preserve"> where we are currently updating the </w:t>
      </w:r>
      <w:proofErr w:type="gramStart"/>
      <w:r w:rsidR="00497694">
        <w:rPr>
          <w:rFonts w:eastAsiaTheme="minorEastAsia"/>
        </w:rPr>
        <w:t>horizon</w:t>
      </w:r>
      <w:proofErr w:type="gramEnd"/>
    </w:p>
    <w:p w14:paraId="34024025" w14:textId="617C824E" w:rsidR="005743B3" w:rsidRDefault="006F5480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D401EA">
        <w:rPr>
          <w:rFonts w:eastAsiaTheme="minorEastAsia"/>
        </w:rPr>
        <w:t>solve the integral</w:t>
      </w:r>
      <w:r>
        <w:rPr>
          <w:rFonts w:eastAsiaTheme="minorEastAsia"/>
        </w:rPr>
        <w:t>:</w:t>
      </w:r>
    </w:p>
    <w:p w14:paraId="7AA8A8A2" w14:textId="711B789B" w:rsidR="00120370" w:rsidRPr="00501F1D" w:rsidRDefault="00B27F2A" w:rsidP="00120370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7BC4F09" w14:textId="77777777" w:rsidR="00501F1D" w:rsidRDefault="00501F1D" w:rsidP="00120370">
      <w:pPr>
        <w:ind w:left="-540" w:right="-540"/>
        <w:rPr>
          <w:rFonts w:eastAsiaTheme="minorEastAsia"/>
        </w:rPr>
      </w:pPr>
    </w:p>
    <w:p w14:paraId="45EEC938" w14:textId="764A9ED5" w:rsidR="00501F1D" w:rsidRPr="00D401EA" w:rsidRDefault="00501F1D" w:rsidP="00120370">
      <w:pPr>
        <w:ind w:left="-540" w:right="-540"/>
        <w:rPr>
          <w:rFonts w:eastAsiaTheme="minorEastAsia"/>
        </w:rPr>
      </w:pPr>
      <w:bookmarkStart w:id="2" w:name="_GoBack"/>
      <w:bookmarkEnd w:id="2"/>
      <w:r>
        <w:rPr>
          <w:rFonts w:eastAsiaTheme="minorEastAsia"/>
        </w:rPr>
        <w:t>qsd</w:t>
      </w:r>
    </w:p>
    <w:p w14:paraId="4747C001" w14:textId="4EFCDD2D" w:rsidR="00501F1D" w:rsidRDefault="00501F1D">
      <w:pPr>
        <w:rPr>
          <w:i/>
        </w:rPr>
      </w:pPr>
      <w:r>
        <w:rPr>
          <w:i/>
        </w:rPr>
        <w:br w:type="page"/>
      </w:r>
    </w:p>
    <w:p w14:paraId="55BDE588" w14:textId="77777777" w:rsidR="00501F1D" w:rsidRDefault="00501F1D">
      <w:pPr>
        <w:rPr>
          <w:i/>
        </w:rPr>
      </w:pP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B27F2A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3172C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7C467A4"/>
    <w:multiLevelType w:val="multilevel"/>
    <w:tmpl w:val="B858B980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6A21D68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16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0"/>
  </w:num>
  <w:num w:numId="13">
    <w:abstractNumId w:val="10"/>
  </w:num>
  <w:num w:numId="14">
    <w:abstractNumId w:val="12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59E"/>
    <w:rsid w:val="000047E4"/>
    <w:rsid w:val="00004E51"/>
    <w:rsid w:val="0001046C"/>
    <w:rsid w:val="0001150E"/>
    <w:rsid w:val="0001157E"/>
    <w:rsid w:val="00011971"/>
    <w:rsid w:val="00014BF0"/>
    <w:rsid w:val="00027524"/>
    <w:rsid w:val="00027FB8"/>
    <w:rsid w:val="00031A9C"/>
    <w:rsid w:val="000337D2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2BA4"/>
    <w:rsid w:val="000637D4"/>
    <w:rsid w:val="00066A99"/>
    <w:rsid w:val="00066B7E"/>
    <w:rsid w:val="00070B48"/>
    <w:rsid w:val="000729AE"/>
    <w:rsid w:val="00072E34"/>
    <w:rsid w:val="0007358C"/>
    <w:rsid w:val="00075E45"/>
    <w:rsid w:val="00075FE6"/>
    <w:rsid w:val="0007713F"/>
    <w:rsid w:val="000777B8"/>
    <w:rsid w:val="000839B9"/>
    <w:rsid w:val="00087082"/>
    <w:rsid w:val="000879C5"/>
    <w:rsid w:val="000902D2"/>
    <w:rsid w:val="00090921"/>
    <w:rsid w:val="00093842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360"/>
    <w:rsid w:val="000C1F6F"/>
    <w:rsid w:val="000C2700"/>
    <w:rsid w:val="000C54AF"/>
    <w:rsid w:val="000C63C3"/>
    <w:rsid w:val="000C75BD"/>
    <w:rsid w:val="000D1058"/>
    <w:rsid w:val="000D5A7E"/>
    <w:rsid w:val="000D73DD"/>
    <w:rsid w:val="000E2BD2"/>
    <w:rsid w:val="000E3F2A"/>
    <w:rsid w:val="000E7887"/>
    <w:rsid w:val="000F1A8A"/>
    <w:rsid w:val="000F38A3"/>
    <w:rsid w:val="000F4FF3"/>
    <w:rsid w:val="000F57BE"/>
    <w:rsid w:val="000F5FC7"/>
    <w:rsid w:val="000F6F85"/>
    <w:rsid w:val="0010364A"/>
    <w:rsid w:val="00106C19"/>
    <w:rsid w:val="00106F54"/>
    <w:rsid w:val="0011198F"/>
    <w:rsid w:val="00114D68"/>
    <w:rsid w:val="00116F6F"/>
    <w:rsid w:val="0011732B"/>
    <w:rsid w:val="00120370"/>
    <w:rsid w:val="00120B98"/>
    <w:rsid w:val="00122596"/>
    <w:rsid w:val="00122689"/>
    <w:rsid w:val="00126BB3"/>
    <w:rsid w:val="0013193C"/>
    <w:rsid w:val="001332F1"/>
    <w:rsid w:val="001341BE"/>
    <w:rsid w:val="00134511"/>
    <w:rsid w:val="00134D43"/>
    <w:rsid w:val="001375B2"/>
    <w:rsid w:val="001425C5"/>
    <w:rsid w:val="0014330A"/>
    <w:rsid w:val="0014464E"/>
    <w:rsid w:val="00145BF3"/>
    <w:rsid w:val="00145DCD"/>
    <w:rsid w:val="001466A4"/>
    <w:rsid w:val="001502F3"/>
    <w:rsid w:val="001514E7"/>
    <w:rsid w:val="00151855"/>
    <w:rsid w:val="001577A9"/>
    <w:rsid w:val="00160C6B"/>
    <w:rsid w:val="00163947"/>
    <w:rsid w:val="0016419A"/>
    <w:rsid w:val="00165524"/>
    <w:rsid w:val="00167AB6"/>
    <w:rsid w:val="00170D97"/>
    <w:rsid w:val="00171258"/>
    <w:rsid w:val="001716AA"/>
    <w:rsid w:val="0017289C"/>
    <w:rsid w:val="0017370D"/>
    <w:rsid w:val="00183D56"/>
    <w:rsid w:val="00184A43"/>
    <w:rsid w:val="00186407"/>
    <w:rsid w:val="00186BBE"/>
    <w:rsid w:val="00191BCA"/>
    <w:rsid w:val="00192F07"/>
    <w:rsid w:val="00196B30"/>
    <w:rsid w:val="001A0FBA"/>
    <w:rsid w:val="001A37A4"/>
    <w:rsid w:val="001A520D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C6EB8"/>
    <w:rsid w:val="001D149A"/>
    <w:rsid w:val="001D2159"/>
    <w:rsid w:val="001D44D6"/>
    <w:rsid w:val="001D57E9"/>
    <w:rsid w:val="001D6B29"/>
    <w:rsid w:val="001F3377"/>
    <w:rsid w:val="001F4519"/>
    <w:rsid w:val="001F4622"/>
    <w:rsid w:val="001F7396"/>
    <w:rsid w:val="00200B6E"/>
    <w:rsid w:val="002016B4"/>
    <w:rsid w:val="002016EF"/>
    <w:rsid w:val="0021017A"/>
    <w:rsid w:val="0021273C"/>
    <w:rsid w:val="002127B8"/>
    <w:rsid w:val="00216D91"/>
    <w:rsid w:val="002233A0"/>
    <w:rsid w:val="00223FBE"/>
    <w:rsid w:val="00227225"/>
    <w:rsid w:val="00227F6E"/>
    <w:rsid w:val="002315BB"/>
    <w:rsid w:val="00231AD1"/>
    <w:rsid w:val="0023550D"/>
    <w:rsid w:val="002367D4"/>
    <w:rsid w:val="00236FF3"/>
    <w:rsid w:val="00241B8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3286"/>
    <w:rsid w:val="0028450A"/>
    <w:rsid w:val="0028682C"/>
    <w:rsid w:val="00287F6C"/>
    <w:rsid w:val="00293155"/>
    <w:rsid w:val="00295471"/>
    <w:rsid w:val="00297367"/>
    <w:rsid w:val="002A0470"/>
    <w:rsid w:val="002A356F"/>
    <w:rsid w:val="002A3B55"/>
    <w:rsid w:val="002A427C"/>
    <w:rsid w:val="002A481D"/>
    <w:rsid w:val="002A54DF"/>
    <w:rsid w:val="002A670F"/>
    <w:rsid w:val="002B00C1"/>
    <w:rsid w:val="002B05FA"/>
    <w:rsid w:val="002B2319"/>
    <w:rsid w:val="002B33B1"/>
    <w:rsid w:val="002B55E6"/>
    <w:rsid w:val="002B5DA2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2E99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485"/>
    <w:rsid w:val="00315BB4"/>
    <w:rsid w:val="0031622D"/>
    <w:rsid w:val="00316A73"/>
    <w:rsid w:val="00323DFB"/>
    <w:rsid w:val="00330D57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4ADF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56"/>
    <w:rsid w:val="003A3667"/>
    <w:rsid w:val="003B3D43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6D97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270"/>
    <w:rsid w:val="004204FA"/>
    <w:rsid w:val="00420A7E"/>
    <w:rsid w:val="004218E3"/>
    <w:rsid w:val="00421A1C"/>
    <w:rsid w:val="0043131A"/>
    <w:rsid w:val="004317C7"/>
    <w:rsid w:val="00432D98"/>
    <w:rsid w:val="00436426"/>
    <w:rsid w:val="00440C53"/>
    <w:rsid w:val="00445A27"/>
    <w:rsid w:val="00451D8D"/>
    <w:rsid w:val="00453A69"/>
    <w:rsid w:val="004541BD"/>
    <w:rsid w:val="0045477E"/>
    <w:rsid w:val="00457990"/>
    <w:rsid w:val="004628B4"/>
    <w:rsid w:val="00465406"/>
    <w:rsid w:val="00465D7B"/>
    <w:rsid w:val="00466668"/>
    <w:rsid w:val="00471383"/>
    <w:rsid w:val="0048245A"/>
    <w:rsid w:val="00485B0D"/>
    <w:rsid w:val="00485F85"/>
    <w:rsid w:val="004902CA"/>
    <w:rsid w:val="00491922"/>
    <w:rsid w:val="00497212"/>
    <w:rsid w:val="00497694"/>
    <w:rsid w:val="00497C70"/>
    <w:rsid w:val="00497E4B"/>
    <w:rsid w:val="004A1F41"/>
    <w:rsid w:val="004A2E72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1E33"/>
    <w:rsid w:val="004F394D"/>
    <w:rsid w:val="004F6586"/>
    <w:rsid w:val="00500AF6"/>
    <w:rsid w:val="00501F1D"/>
    <w:rsid w:val="00503399"/>
    <w:rsid w:val="0050486E"/>
    <w:rsid w:val="00505888"/>
    <w:rsid w:val="00505B66"/>
    <w:rsid w:val="0051128A"/>
    <w:rsid w:val="00512CA4"/>
    <w:rsid w:val="00512E59"/>
    <w:rsid w:val="00514055"/>
    <w:rsid w:val="00514078"/>
    <w:rsid w:val="005141FD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743B3"/>
    <w:rsid w:val="00576F68"/>
    <w:rsid w:val="0058268F"/>
    <w:rsid w:val="00583890"/>
    <w:rsid w:val="00584CDA"/>
    <w:rsid w:val="00584D3F"/>
    <w:rsid w:val="00585C01"/>
    <w:rsid w:val="00586715"/>
    <w:rsid w:val="00590647"/>
    <w:rsid w:val="005A0261"/>
    <w:rsid w:val="005A05DF"/>
    <w:rsid w:val="005A0F0A"/>
    <w:rsid w:val="005A16F1"/>
    <w:rsid w:val="005A25D2"/>
    <w:rsid w:val="005A2A0B"/>
    <w:rsid w:val="005A504C"/>
    <w:rsid w:val="005B226E"/>
    <w:rsid w:val="005B3741"/>
    <w:rsid w:val="005B3BB0"/>
    <w:rsid w:val="005B40CE"/>
    <w:rsid w:val="005B44DD"/>
    <w:rsid w:val="005B612B"/>
    <w:rsid w:val="005C454F"/>
    <w:rsid w:val="005C5581"/>
    <w:rsid w:val="005C6D8F"/>
    <w:rsid w:val="005D27CB"/>
    <w:rsid w:val="005D6018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4463"/>
    <w:rsid w:val="005F71D3"/>
    <w:rsid w:val="00600F91"/>
    <w:rsid w:val="006120FA"/>
    <w:rsid w:val="00612805"/>
    <w:rsid w:val="006129D1"/>
    <w:rsid w:val="00612B43"/>
    <w:rsid w:val="0061367E"/>
    <w:rsid w:val="00614944"/>
    <w:rsid w:val="00614D37"/>
    <w:rsid w:val="006160ED"/>
    <w:rsid w:val="00616357"/>
    <w:rsid w:val="00620A5E"/>
    <w:rsid w:val="00622839"/>
    <w:rsid w:val="006229DF"/>
    <w:rsid w:val="00624643"/>
    <w:rsid w:val="00625284"/>
    <w:rsid w:val="0062549A"/>
    <w:rsid w:val="006361D8"/>
    <w:rsid w:val="00640839"/>
    <w:rsid w:val="006413D0"/>
    <w:rsid w:val="00642491"/>
    <w:rsid w:val="00644909"/>
    <w:rsid w:val="00650040"/>
    <w:rsid w:val="00652252"/>
    <w:rsid w:val="00664A53"/>
    <w:rsid w:val="00666CA8"/>
    <w:rsid w:val="00671291"/>
    <w:rsid w:val="00675052"/>
    <w:rsid w:val="0067533E"/>
    <w:rsid w:val="00676B1E"/>
    <w:rsid w:val="00680CEE"/>
    <w:rsid w:val="00681A4F"/>
    <w:rsid w:val="00683624"/>
    <w:rsid w:val="00684722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C4C01"/>
    <w:rsid w:val="006D38DA"/>
    <w:rsid w:val="006D75AE"/>
    <w:rsid w:val="006D77D5"/>
    <w:rsid w:val="006E26F2"/>
    <w:rsid w:val="006E449C"/>
    <w:rsid w:val="006E45F0"/>
    <w:rsid w:val="006E77A1"/>
    <w:rsid w:val="006F159B"/>
    <w:rsid w:val="006F5480"/>
    <w:rsid w:val="006F61FD"/>
    <w:rsid w:val="006F6304"/>
    <w:rsid w:val="006F7F6D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259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50E21"/>
    <w:rsid w:val="00750EFD"/>
    <w:rsid w:val="00750F2D"/>
    <w:rsid w:val="00753561"/>
    <w:rsid w:val="007544EA"/>
    <w:rsid w:val="007544FD"/>
    <w:rsid w:val="007561E9"/>
    <w:rsid w:val="007615A3"/>
    <w:rsid w:val="007664BA"/>
    <w:rsid w:val="00771E3C"/>
    <w:rsid w:val="00772B48"/>
    <w:rsid w:val="00772BF5"/>
    <w:rsid w:val="00774F3B"/>
    <w:rsid w:val="00776AFF"/>
    <w:rsid w:val="007852BB"/>
    <w:rsid w:val="00794F96"/>
    <w:rsid w:val="00796568"/>
    <w:rsid w:val="00797824"/>
    <w:rsid w:val="007A4595"/>
    <w:rsid w:val="007A61F6"/>
    <w:rsid w:val="007A7081"/>
    <w:rsid w:val="007B3BA4"/>
    <w:rsid w:val="007B4491"/>
    <w:rsid w:val="007B4CB4"/>
    <w:rsid w:val="007B4EC9"/>
    <w:rsid w:val="007B5CC2"/>
    <w:rsid w:val="007B5DA5"/>
    <w:rsid w:val="007B624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C8"/>
    <w:rsid w:val="008118DF"/>
    <w:rsid w:val="00814710"/>
    <w:rsid w:val="00815069"/>
    <w:rsid w:val="00817973"/>
    <w:rsid w:val="00820798"/>
    <w:rsid w:val="0082173C"/>
    <w:rsid w:val="0082333F"/>
    <w:rsid w:val="00823A5B"/>
    <w:rsid w:val="00831039"/>
    <w:rsid w:val="00831D83"/>
    <w:rsid w:val="00833B81"/>
    <w:rsid w:val="00835760"/>
    <w:rsid w:val="008366B9"/>
    <w:rsid w:val="00837D73"/>
    <w:rsid w:val="008401B8"/>
    <w:rsid w:val="008425B6"/>
    <w:rsid w:val="0084559A"/>
    <w:rsid w:val="00845D48"/>
    <w:rsid w:val="008500AD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97C9A"/>
    <w:rsid w:val="008A166B"/>
    <w:rsid w:val="008A57D8"/>
    <w:rsid w:val="008A7DCE"/>
    <w:rsid w:val="008B750A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38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171CD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446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86714"/>
    <w:rsid w:val="00990883"/>
    <w:rsid w:val="0099123B"/>
    <w:rsid w:val="00992727"/>
    <w:rsid w:val="009963D3"/>
    <w:rsid w:val="0099796B"/>
    <w:rsid w:val="009A0C59"/>
    <w:rsid w:val="009A0DC1"/>
    <w:rsid w:val="009A2230"/>
    <w:rsid w:val="009A47B3"/>
    <w:rsid w:val="009B28CF"/>
    <w:rsid w:val="009B2F28"/>
    <w:rsid w:val="009B42A1"/>
    <w:rsid w:val="009C0211"/>
    <w:rsid w:val="009C451C"/>
    <w:rsid w:val="009C6113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0250"/>
    <w:rsid w:val="009F15BF"/>
    <w:rsid w:val="009F1787"/>
    <w:rsid w:val="009F21C8"/>
    <w:rsid w:val="009F3905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35CB"/>
    <w:rsid w:val="00A255B0"/>
    <w:rsid w:val="00A26E75"/>
    <w:rsid w:val="00A3161C"/>
    <w:rsid w:val="00A32894"/>
    <w:rsid w:val="00A3552B"/>
    <w:rsid w:val="00A360AE"/>
    <w:rsid w:val="00A4079B"/>
    <w:rsid w:val="00A4118E"/>
    <w:rsid w:val="00A417EB"/>
    <w:rsid w:val="00A41E3F"/>
    <w:rsid w:val="00A421D4"/>
    <w:rsid w:val="00A437D0"/>
    <w:rsid w:val="00A51452"/>
    <w:rsid w:val="00A5246C"/>
    <w:rsid w:val="00A53826"/>
    <w:rsid w:val="00A5439F"/>
    <w:rsid w:val="00A547EF"/>
    <w:rsid w:val="00A558AB"/>
    <w:rsid w:val="00A55990"/>
    <w:rsid w:val="00A5624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C6E35"/>
    <w:rsid w:val="00AD076B"/>
    <w:rsid w:val="00AD1736"/>
    <w:rsid w:val="00AD1941"/>
    <w:rsid w:val="00AD1EA1"/>
    <w:rsid w:val="00AD2306"/>
    <w:rsid w:val="00AD4F84"/>
    <w:rsid w:val="00AD52A0"/>
    <w:rsid w:val="00AD74F1"/>
    <w:rsid w:val="00AD7BAC"/>
    <w:rsid w:val="00AE1E04"/>
    <w:rsid w:val="00AE38AC"/>
    <w:rsid w:val="00AE6563"/>
    <w:rsid w:val="00AE6722"/>
    <w:rsid w:val="00AE68E9"/>
    <w:rsid w:val="00AF1A89"/>
    <w:rsid w:val="00AF287A"/>
    <w:rsid w:val="00AF5476"/>
    <w:rsid w:val="00AF6927"/>
    <w:rsid w:val="00B03019"/>
    <w:rsid w:val="00B070B4"/>
    <w:rsid w:val="00B102C8"/>
    <w:rsid w:val="00B1039F"/>
    <w:rsid w:val="00B11ECF"/>
    <w:rsid w:val="00B16679"/>
    <w:rsid w:val="00B22783"/>
    <w:rsid w:val="00B238DA"/>
    <w:rsid w:val="00B24913"/>
    <w:rsid w:val="00B25BA9"/>
    <w:rsid w:val="00B27F2A"/>
    <w:rsid w:val="00B27FC6"/>
    <w:rsid w:val="00B32021"/>
    <w:rsid w:val="00B339A5"/>
    <w:rsid w:val="00B33D77"/>
    <w:rsid w:val="00B362A2"/>
    <w:rsid w:val="00B41555"/>
    <w:rsid w:val="00B45168"/>
    <w:rsid w:val="00B47E44"/>
    <w:rsid w:val="00B526FD"/>
    <w:rsid w:val="00B52B0B"/>
    <w:rsid w:val="00B52CBE"/>
    <w:rsid w:val="00B63B4B"/>
    <w:rsid w:val="00B64325"/>
    <w:rsid w:val="00B648E5"/>
    <w:rsid w:val="00B66793"/>
    <w:rsid w:val="00B67034"/>
    <w:rsid w:val="00B679D0"/>
    <w:rsid w:val="00B679D9"/>
    <w:rsid w:val="00B70FF3"/>
    <w:rsid w:val="00B73B0A"/>
    <w:rsid w:val="00B74467"/>
    <w:rsid w:val="00B75CE9"/>
    <w:rsid w:val="00B76F34"/>
    <w:rsid w:val="00B778FB"/>
    <w:rsid w:val="00B8098A"/>
    <w:rsid w:val="00B825AB"/>
    <w:rsid w:val="00B84254"/>
    <w:rsid w:val="00B90451"/>
    <w:rsid w:val="00B90A7A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B32E2"/>
    <w:rsid w:val="00BB4A39"/>
    <w:rsid w:val="00BC0721"/>
    <w:rsid w:val="00BC41EF"/>
    <w:rsid w:val="00BC7F0D"/>
    <w:rsid w:val="00BD72E5"/>
    <w:rsid w:val="00BD741B"/>
    <w:rsid w:val="00BD79CD"/>
    <w:rsid w:val="00BD7E95"/>
    <w:rsid w:val="00BE2834"/>
    <w:rsid w:val="00BE3784"/>
    <w:rsid w:val="00BE51DC"/>
    <w:rsid w:val="00BF18D8"/>
    <w:rsid w:val="00BF20C1"/>
    <w:rsid w:val="00BF3D1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4782"/>
    <w:rsid w:val="00C25E24"/>
    <w:rsid w:val="00C322C3"/>
    <w:rsid w:val="00C3669F"/>
    <w:rsid w:val="00C407E9"/>
    <w:rsid w:val="00C4081E"/>
    <w:rsid w:val="00C418FC"/>
    <w:rsid w:val="00C41E52"/>
    <w:rsid w:val="00C461D6"/>
    <w:rsid w:val="00C47836"/>
    <w:rsid w:val="00C5107C"/>
    <w:rsid w:val="00C55A3F"/>
    <w:rsid w:val="00C572B6"/>
    <w:rsid w:val="00C602B8"/>
    <w:rsid w:val="00C609D3"/>
    <w:rsid w:val="00C6763F"/>
    <w:rsid w:val="00C74F81"/>
    <w:rsid w:val="00C77E95"/>
    <w:rsid w:val="00C807AD"/>
    <w:rsid w:val="00C809CE"/>
    <w:rsid w:val="00C8205F"/>
    <w:rsid w:val="00C835AB"/>
    <w:rsid w:val="00C87AFE"/>
    <w:rsid w:val="00C90238"/>
    <w:rsid w:val="00C950E2"/>
    <w:rsid w:val="00C965E1"/>
    <w:rsid w:val="00C9785C"/>
    <w:rsid w:val="00CA0F70"/>
    <w:rsid w:val="00CA180A"/>
    <w:rsid w:val="00CA2392"/>
    <w:rsid w:val="00CA4906"/>
    <w:rsid w:val="00CA5378"/>
    <w:rsid w:val="00CB1830"/>
    <w:rsid w:val="00CB1C9D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15C0D"/>
    <w:rsid w:val="00D22D35"/>
    <w:rsid w:val="00D234C9"/>
    <w:rsid w:val="00D273D5"/>
    <w:rsid w:val="00D33B9F"/>
    <w:rsid w:val="00D34FF3"/>
    <w:rsid w:val="00D401EA"/>
    <w:rsid w:val="00D410D0"/>
    <w:rsid w:val="00D41647"/>
    <w:rsid w:val="00D47E02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81713"/>
    <w:rsid w:val="00D93232"/>
    <w:rsid w:val="00D9478C"/>
    <w:rsid w:val="00D95054"/>
    <w:rsid w:val="00D95820"/>
    <w:rsid w:val="00DA0E52"/>
    <w:rsid w:val="00DA1C2C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D5D84"/>
    <w:rsid w:val="00DE200E"/>
    <w:rsid w:val="00DE4AF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27C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6DAD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8763F"/>
    <w:rsid w:val="00E91BE5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0381"/>
    <w:rsid w:val="00ED4F75"/>
    <w:rsid w:val="00ED6364"/>
    <w:rsid w:val="00EE42C8"/>
    <w:rsid w:val="00EE59BD"/>
    <w:rsid w:val="00EE7586"/>
    <w:rsid w:val="00EF20DC"/>
    <w:rsid w:val="00EF237E"/>
    <w:rsid w:val="00EF3202"/>
    <w:rsid w:val="00F02E8B"/>
    <w:rsid w:val="00F0491A"/>
    <w:rsid w:val="00F06DE5"/>
    <w:rsid w:val="00F06E82"/>
    <w:rsid w:val="00F07EF6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18D5"/>
    <w:rsid w:val="00F35B84"/>
    <w:rsid w:val="00F3721A"/>
    <w:rsid w:val="00F43DE2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054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33FE3-5776-4AD2-9710-5A86CB5B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9259</TotalTime>
  <Pages>7</Pages>
  <Words>950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899</cp:revision>
  <cp:lastPrinted>2018-01-07T20:14:00Z</cp:lastPrinted>
  <dcterms:created xsi:type="dcterms:W3CDTF">2017-12-27T13:08:00Z</dcterms:created>
  <dcterms:modified xsi:type="dcterms:W3CDTF">2018-02-09T09:03:00Z</dcterms:modified>
</cp:coreProperties>
</file>