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F3B57"/>
          <w:sz w:val="52"/>
          <w:szCs w:val="52"/>
        </w:rPr>
        <w:t xml:space="preserve">PATATTE BACKEND</w:t>
      </w:r>
    </w:p>
    <w:p>
      <w:pPr>
        <w:spacing w:after="100"/>
        <w:jc w:val="center"/>
      </w:pPr>
      <w:r>
        <w:rPr>
          <w:rFonts w:ascii="Calibri" w:cs="Calibri" w:eastAsia="Calibri" w:hAnsi="Calibri"/>
          <w:b/>
          <w:bCs/>
          <w:color w:val="D97B29"/>
          <w:sz w:val="34"/>
          <w:szCs w:val="34"/>
        </w:rPr>
        <w:t xml:space="preserve">Production Database Migration</w:t>
      </w:r>
    </w:p>
    <w:p>
      <w:pPr>
        <w:spacing w:after="600"/>
        <w:jc w:val="center"/>
      </w:pPr>
      <w:r>
        <w:rPr>
          <w:rFonts w:ascii="Calibri" w:cs="Calibri" w:eastAsia="Calibri" w:hAnsi="Calibri"/>
          <w:color w:val="5A5A5A"/>
          <w:sz w:val="26"/>
          <w:szCs w:val="26"/>
        </w:rPr>
        <w:t xml:space="preserve">Deployment Documentation &amp; Rollout Roadmap</w:t>
      </w:r>
    </w:p>
    <w:p>
      <w:pPr>
        <w:spacing w:after="60"/>
        <w:jc w:val="center"/>
      </w:pPr>
      <w:r>
        <w:rPr>
          <w:rFonts w:ascii="Calibri" w:cs="Calibri" w:eastAsia="Calibri" w:hAnsi="Calibri"/>
          <w:sz w:val="20"/>
          <w:szCs w:val="20"/>
        </w:rPr>
        <w:t xml:space="preserve">Prepared by: Head of Infrastructure, Patatte</w:t>
      </w:r>
    </w:p>
    <w:p>
      <w:pPr>
        <w:spacing w:after="60"/>
        <w:jc w:val="center"/>
      </w:pPr>
      <w:r>
        <w:rPr>
          <w:rFonts w:ascii="Calibri" w:cs="Calibri" w:eastAsia="Calibri" w:hAnsi="Calibri"/>
          <w:sz w:val="20"/>
          <w:szCs w:val="20"/>
        </w:rPr>
        <w:t xml:space="preserve">Scope: Test → Production schema migration</w:t>
      </w:r>
    </w:p>
    <w:p>
      <w:pPr>
        <w:spacing w:after="60"/>
        <w:jc w:val="center"/>
      </w:pPr>
      <w:r>
        <w:rPr>
          <w:rFonts w:ascii="Calibri" w:cs="Calibri" w:eastAsia="Calibri" w:hAnsi="Calibri"/>
          <w:b/>
          <w:bCs/>
          <w:color w:val="B23B2E"/>
          <w:sz w:val="20"/>
          <w:szCs w:val="20"/>
        </w:rPr>
        <w:t xml:space="preserve">Status: DRAFT — for review</w:t>
      </w:r>
    </w:p>
    <w:p>
      <w:pPr>
        <w:spacing w:after="60"/>
        <w:jc w:val="center"/>
      </w:pPr>
      <w:r>
        <w:rPr>
          <w:rFonts w:ascii="Calibri" w:cs="Calibri" w:eastAsia="Calibri" w:hAnsi="Calibri"/>
          <w:sz w:val="20"/>
          <w:szCs w:val="20"/>
        </w:rPr>
        <w:t xml:space="preserve">Last updated: [DATE]</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1. Purpose &amp; Ownership</w:t>
      </w:r>
    </w:p>
    <w:p>
      <w:pPr>
        <w:spacing w:after="160"/>
      </w:pPr>
      <w:r>
        <w:rPr>
          <w:rFonts w:ascii="Calibri" w:cs="Calibri" w:eastAsia="Calibri" w:hAnsi="Calibri"/>
          <w:color w:val="222222"/>
          <w:sz w:val="21"/>
          <w:szCs w:val="21"/>
        </w:rPr>
        <w:t xml:space="preserve">The schema on the test environment has been updated and validated by the development team. A migration script exists to bring production from its current schema to that validated state. This document does not define or evaluate the migration script's contents — that is owned by the development team. It defines the deployment process around it: what Infrastructure needs from the dev team before execution, how the change is safely rolled out to production, how it is verified, and how it is rolled back if something goes wrong.</w:t>
      </w:r>
    </w:p>
    <w:tbl>
      <w:tblPr>
        <w:tblW w:type="pct" w:w="100%"/>
        <w:tblBorders>
          <w:top w:val="single" w:color="B23B2E" w:sz="4"/>
          <w:left w:val="single" w:color="B23B2E" w:sz="24"/>
          <w:bottom w:val="single" w:color="B23B2E" w:sz="4"/>
          <w:right w:val="single" w:color="B23B2E" w:sz="4"/>
          <w:insideH w:val="single" w:color="auto" w:sz="4"/>
          <w:insideV w:val="single" w:color="auto" w:sz="4"/>
        </w:tblBorders>
      </w:tblPr>
      <w:tblGrid>
        <w:gridCol w:w="100"/>
      </w:tblGrid>
      <w:tr>
        <w:tc>
          <w:tcPr>
            <w:shd w:fill="F2F2F2" w:val="clear"/>
            <w:tcMar>
              <w:top w:type="dxa" w:w="150"/>
              <w:left w:type="dxa" w:w="200"/>
              <w:bottom w:type="dxa" w:w="150"/>
              <w:right w:type="dxa" w:w="200"/>
            </w:tcMar>
          </w:tcPr>
          <w:p>
            <w:pPr>
              <w:spacing w:after="60"/>
            </w:pPr>
            <w:r>
              <w:rPr>
                <w:rFonts w:ascii="Calibri" w:cs="Calibri" w:eastAsia="Calibri" w:hAnsi="Calibri"/>
                <w:b/>
                <w:bCs/>
                <w:color w:val="B23B2E"/>
                <w:sz w:val="20"/>
                <w:szCs w:val="20"/>
              </w:rPr>
              <w:t xml:space="preserve">Ownership split</w:t>
            </w:r>
          </w:p>
          <w:p>
            <w:r>
              <w:rPr>
                <w:rFonts w:ascii="Calibri" w:cs="Calibri" w:eastAsia="Calibri" w:hAnsi="Calibri"/>
                <w:color w:val="222222"/>
                <w:sz w:val="20"/>
                <w:szCs w:val="20"/>
              </w:rPr>
              <w:t xml:space="preserve">Development team: writes, tests, and owns the correctness of the migration script. Infrastructure (this document): owns the production execution — backup, timing, environment readiness, monitoring, verification, and rollback. Infrastructure does not need to understand the internal logic of the script to safely own its deployment, provided the intake requirements in Section 2 are met.</w:t>
            </w:r>
          </w:p>
        </w:tc>
      </w:tr>
    </w:tbl>
    <w:p>
      <w:pPr>
        <w:spacing w:after="120"/>
      </w:pPr>
    </w:p>
    <w:p>
      <w:pPr>
        <w:pStyle w:val="Heading2"/>
        <w:spacing w:after="120" w:before="300"/>
      </w:pPr>
      <w:r>
        <w:rPr>
          <w:rFonts w:ascii="Calibri" w:cs="Calibri" w:eastAsia="Calibri" w:hAnsi="Calibri"/>
          <w:b/>
          <w:bCs/>
          <w:color w:val="1F3B57"/>
          <w:sz w:val="24"/>
          <w:szCs w:val="24"/>
        </w:rPr>
        <w:t xml:space="preserve">1.1 Key concern</w:t>
      </w:r>
    </w:p>
    <w:p>
      <w:pPr>
        <w:spacing w:after="160"/>
      </w:pPr>
      <w:r>
        <w:rPr>
          <w:rFonts w:ascii="Calibri" w:cs="Calibri" w:eastAsia="Calibri" w:hAnsi="Calibri"/>
          <w:color w:val="222222"/>
          <w:sz w:val="21"/>
          <w:szCs w:val="21"/>
        </w:rPr>
        <w:t xml:space="preserve">Production holds live data that does not exist on test. The primary risk is not whether the script works — it has presumably been validated on test — but whether running it against production causes data loss, extended downtime, or an inconsistent state if it fails partway through. This roadmap is built entirely around de-risking that gap.</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2. Intake Requirements From Development</w:t>
      </w:r>
    </w:p>
    <w:p>
      <w:pPr>
        <w:spacing w:after="160"/>
      </w:pPr>
      <w:r>
        <w:rPr>
          <w:rFonts w:ascii="Calibri" w:cs="Calibri" w:eastAsia="Calibri" w:hAnsi="Calibri"/>
          <w:color w:val="222222"/>
          <w:sz w:val="21"/>
          <w:szCs w:val="21"/>
        </w:rPr>
        <w:t xml:space="preserve">Before Infrastructure will schedule a production run, the development team provides the following. This is the handoff checklist — nothing proceeds to Section 4 until every row is checked.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500"/>
      </w:tblGrid>
      <w:tr>
        <w:trPr>
          <w:tblHeader/>
        </w:trPr>
        <w:tc>
          <w:tcPr>
            <w:tcW w:type="dxa" w:w="22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Item</w:t>
            </w:r>
          </w:p>
        </w:tc>
        <w:tc>
          <w:tcPr>
            <w:tcW w:type="dxa" w:w="48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Description</w:t>
            </w:r>
          </w:p>
        </w:tc>
        <w:tc>
          <w:tcPr>
            <w:tcW w:type="dxa" w:w="15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Received?</w:t>
            </w:r>
          </w:p>
        </w:tc>
      </w:tr>
      <w:tr>
        <w:tc>
          <w:tcPr>
            <w:tcW w:type="dxa" w:w="2200"/>
            <w:shd w:fill="FFFFFF" w:val="clear"/>
            <w:tcMar>
              <w:top w:type="dxa" w:w="90"/>
              <w:left w:type="dxa" w:w="120"/>
              <w:bottom w:type="dxa" w:w="90"/>
              <w:right w:type="dxa" w:w="120"/>
            </w:tcMar>
          </w:tcPr>
          <w:p>
            <w:r>
              <w:rPr>
                <w:rFonts w:ascii="Calibri" w:cs="Calibri" w:eastAsia="Calibri" w:hAnsi="Calibri"/>
                <w:color w:val="222222"/>
                <w:sz w:val="19"/>
                <w:szCs w:val="19"/>
              </w:rPr>
              <w:t xml:space="preserve">Migration script / change set</w:t>
            </w:r>
          </w:p>
        </w:tc>
        <w:tc>
          <w:tcPr>
            <w:tcW w:type="dxa" w:w="4800"/>
            <w:shd w:fill="FFFFFF" w:val="clear"/>
            <w:tcMar>
              <w:top w:type="dxa" w:w="90"/>
              <w:left w:type="dxa" w:w="120"/>
              <w:bottom w:type="dxa" w:w="90"/>
              <w:right w:type="dxa" w:w="120"/>
            </w:tcMar>
          </w:tcPr>
          <w:p>
            <w:r>
              <w:rPr>
                <w:rFonts w:ascii="Calibri" w:cs="Calibri" w:eastAsia="Calibri" w:hAnsi="Calibri"/>
                <w:color w:val="222222"/>
                <w:sz w:val="19"/>
                <w:szCs w:val="19"/>
              </w:rPr>
              <w:t xml:space="preserve">The exact script(s) or migration files that will run against production</w:t>
            </w:r>
          </w:p>
        </w:tc>
        <w:tc>
          <w:tcPr>
            <w:tcW w:type="dxa" w:w="1500"/>
            <w:shd w:fill="FFFFFF"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2F2F2" w:val="clear"/>
            <w:tcMar>
              <w:top w:type="dxa" w:w="90"/>
              <w:left w:type="dxa" w:w="120"/>
              <w:bottom w:type="dxa" w:w="90"/>
              <w:right w:type="dxa" w:w="120"/>
            </w:tcMar>
          </w:tcPr>
          <w:p>
            <w:r>
              <w:rPr>
                <w:rFonts w:ascii="Calibri" w:cs="Calibri" w:eastAsia="Calibri" w:hAnsi="Calibri"/>
                <w:color w:val="222222"/>
                <w:sz w:val="19"/>
                <w:szCs w:val="19"/>
              </w:rPr>
              <w:t xml:space="preserve">Change summary</w:t>
            </w:r>
          </w:p>
        </w:tc>
        <w:tc>
          <w:tcPr>
            <w:tcW w:type="dxa" w:w="4800"/>
            <w:shd w:fill="F2F2F2" w:val="clear"/>
            <w:tcMar>
              <w:top w:type="dxa" w:w="90"/>
              <w:left w:type="dxa" w:w="120"/>
              <w:bottom w:type="dxa" w:w="90"/>
              <w:right w:type="dxa" w:w="120"/>
            </w:tcMar>
          </w:tcPr>
          <w:p>
            <w:r>
              <w:rPr>
                <w:rFonts w:ascii="Calibri" w:cs="Calibri" w:eastAsia="Calibri" w:hAnsi="Calibri"/>
                <w:color w:val="222222"/>
                <w:sz w:val="19"/>
                <w:szCs w:val="19"/>
              </w:rPr>
              <w:t xml:space="preserve">Plain-language list of what tables/fields are added, changed, or removed</w:t>
            </w:r>
          </w:p>
        </w:tc>
        <w:tc>
          <w:tcPr>
            <w:tcW w:type="dxa" w:w="1500"/>
            <w:shd w:fill="F2F2F2"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FFFFF" w:val="clear"/>
            <w:tcMar>
              <w:top w:type="dxa" w:w="90"/>
              <w:left w:type="dxa" w:w="120"/>
              <w:bottom w:type="dxa" w:w="90"/>
              <w:right w:type="dxa" w:w="120"/>
            </w:tcMar>
          </w:tcPr>
          <w:p>
            <w:r>
              <w:rPr>
                <w:rFonts w:ascii="Calibri" w:cs="Calibri" w:eastAsia="Calibri" w:hAnsi="Calibri"/>
                <w:color w:val="222222"/>
                <w:sz w:val="19"/>
                <w:szCs w:val="19"/>
              </w:rPr>
              <w:t xml:space="preserve">Breaking vs. additive flag</w:t>
            </w:r>
          </w:p>
        </w:tc>
        <w:tc>
          <w:tcPr>
            <w:tcW w:type="dxa" w:w="4800"/>
            <w:shd w:fill="FFFFFF" w:val="clear"/>
            <w:tcMar>
              <w:top w:type="dxa" w:w="90"/>
              <w:left w:type="dxa" w:w="120"/>
              <w:bottom w:type="dxa" w:w="90"/>
              <w:right w:type="dxa" w:w="120"/>
            </w:tcMar>
          </w:tcPr>
          <w:p>
            <w:r>
              <w:rPr>
                <w:rFonts w:ascii="Calibri" w:cs="Calibri" w:eastAsia="Calibri" w:hAnsi="Calibri"/>
                <w:color w:val="222222"/>
                <w:sz w:val="19"/>
                <w:szCs w:val="19"/>
              </w:rPr>
              <w:t xml:space="preserve">Which changes are backward-compatible and which are not</w:t>
            </w:r>
          </w:p>
        </w:tc>
        <w:tc>
          <w:tcPr>
            <w:tcW w:type="dxa" w:w="1500"/>
            <w:shd w:fill="FFFFFF"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2F2F2" w:val="clear"/>
            <w:tcMar>
              <w:top w:type="dxa" w:w="90"/>
              <w:left w:type="dxa" w:w="120"/>
              <w:bottom w:type="dxa" w:w="90"/>
              <w:right w:type="dxa" w:w="120"/>
            </w:tcMar>
          </w:tcPr>
          <w:p>
            <w:r>
              <w:rPr>
                <w:rFonts w:ascii="Calibri" w:cs="Calibri" w:eastAsia="Calibri" w:hAnsi="Calibri"/>
                <w:color w:val="222222"/>
                <w:sz w:val="19"/>
                <w:szCs w:val="19"/>
              </w:rPr>
              <w:t xml:space="preserve">Reversal method</w:t>
            </w:r>
          </w:p>
        </w:tc>
        <w:tc>
          <w:tcPr>
            <w:tcW w:type="dxa" w:w="4800"/>
            <w:shd w:fill="F2F2F2" w:val="clear"/>
            <w:tcMar>
              <w:top w:type="dxa" w:w="90"/>
              <w:left w:type="dxa" w:w="120"/>
              <w:bottom w:type="dxa" w:w="90"/>
              <w:right w:type="dxa" w:w="120"/>
            </w:tcMar>
          </w:tcPr>
          <w:p>
            <w:r>
              <w:rPr>
                <w:rFonts w:ascii="Calibri" w:cs="Calibri" w:eastAsia="Calibri" w:hAnsi="Calibri"/>
                <w:color w:val="222222"/>
                <w:sz w:val="19"/>
                <w:szCs w:val="19"/>
              </w:rPr>
              <w:t xml:space="preserve">How each change can be undone (reverse script, restore point, or 'not reversible')</w:t>
            </w:r>
          </w:p>
        </w:tc>
        <w:tc>
          <w:tcPr>
            <w:tcW w:type="dxa" w:w="1500"/>
            <w:shd w:fill="F2F2F2"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FFFFF" w:val="clear"/>
            <w:tcMar>
              <w:top w:type="dxa" w:w="90"/>
              <w:left w:type="dxa" w:w="120"/>
              <w:bottom w:type="dxa" w:w="90"/>
              <w:right w:type="dxa" w:w="120"/>
            </w:tcMar>
          </w:tcPr>
          <w:p>
            <w:r>
              <w:rPr>
                <w:rFonts w:ascii="Calibri" w:cs="Calibri" w:eastAsia="Calibri" w:hAnsi="Calibri"/>
                <w:color w:val="222222"/>
                <w:sz w:val="19"/>
                <w:szCs w:val="19"/>
              </w:rPr>
              <w:t xml:space="preserve">Test-environment run confirmation</w:t>
            </w:r>
          </w:p>
        </w:tc>
        <w:tc>
          <w:tcPr>
            <w:tcW w:type="dxa" w:w="4800"/>
            <w:shd w:fill="FFFFFF" w:val="clear"/>
            <w:tcMar>
              <w:top w:type="dxa" w:w="90"/>
              <w:left w:type="dxa" w:w="120"/>
              <w:bottom w:type="dxa" w:w="90"/>
              <w:right w:type="dxa" w:w="120"/>
            </w:tcMar>
          </w:tcPr>
          <w:p>
            <w:r>
              <w:rPr>
                <w:rFonts w:ascii="Calibri" w:cs="Calibri" w:eastAsia="Calibri" w:hAnsi="Calibri"/>
                <w:color w:val="222222"/>
                <w:sz w:val="19"/>
                <w:szCs w:val="19"/>
              </w:rPr>
              <w:t xml:space="preserve">Confirmation the script ran successfully end-to-end on test with production-representative data volume</w:t>
            </w:r>
          </w:p>
        </w:tc>
        <w:tc>
          <w:tcPr>
            <w:tcW w:type="dxa" w:w="1500"/>
            <w:shd w:fill="FFFFFF"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2F2F2" w:val="clear"/>
            <w:tcMar>
              <w:top w:type="dxa" w:w="90"/>
              <w:left w:type="dxa" w:w="120"/>
              <w:bottom w:type="dxa" w:w="90"/>
              <w:right w:type="dxa" w:w="120"/>
            </w:tcMar>
          </w:tcPr>
          <w:p>
            <w:r>
              <w:rPr>
                <w:rFonts w:ascii="Calibri" w:cs="Calibri" w:eastAsia="Calibri" w:hAnsi="Calibri"/>
                <w:color w:val="222222"/>
                <w:sz w:val="19"/>
                <w:szCs w:val="19"/>
              </w:rPr>
              <w:t xml:space="preserve">Estimated runtime</w:t>
            </w:r>
          </w:p>
        </w:tc>
        <w:tc>
          <w:tcPr>
            <w:tcW w:type="dxa" w:w="4800"/>
            <w:shd w:fill="F2F2F2" w:val="clear"/>
            <w:tcMar>
              <w:top w:type="dxa" w:w="90"/>
              <w:left w:type="dxa" w:w="120"/>
              <w:bottom w:type="dxa" w:w="90"/>
              <w:right w:type="dxa" w:w="120"/>
            </w:tcMar>
          </w:tcPr>
          <w:p>
            <w:r>
              <w:rPr>
                <w:rFonts w:ascii="Calibri" w:cs="Calibri" w:eastAsia="Calibri" w:hAnsi="Calibri"/>
                <w:color w:val="222222"/>
                <w:sz w:val="19"/>
                <w:szCs w:val="19"/>
              </w:rPr>
              <w:t xml:space="preserve">How long the script takes to execute against a dataset of production's approximate size</w:t>
            </w:r>
          </w:p>
        </w:tc>
        <w:tc>
          <w:tcPr>
            <w:tcW w:type="dxa" w:w="1500"/>
            <w:shd w:fill="F2F2F2" w:val="clear"/>
            <w:tcMar>
              <w:top w:type="dxa" w:w="90"/>
              <w:left w:type="dxa" w:w="120"/>
              <w:bottom w:type="dxa" w:w="90"/>
              <w:right w:type="dxa" w:w="120"/>
            </w:tcMar>
          </w:tcPr>
          <w:p>
            <w:r>
              <w:rPr>
                <w:rFonts w:ascii="Calibri" w:cs="Calibri" w:eastAsia="Calibri" w:hAnsi="Calibri"/>
                <w:color w:val="222222"/>
                <w:sz w:val="19"/>
                <w:szCs w:val="19"/>
              </w:rPr>
              <w:t xml:space="preserve">[ ]</w:t>
            </w:r>
          </w:p>
        </w:tc>
      </w:tr>
      <w:tr>
        <w:tc>
          <w:tcPr>
            <w:tcW w:type="dxa" w:w="2200"/>
            <w:shd w:fill="FFFFFF" w:val="clear"/>
            <w:tcMar>
              <w:top w:type="dxa" w:w="90"/>
              <w:left w:type="dxa" w:w="120"/>
              <w:bottom w:type="dxa" w:w="90"/>
              <w:right w:type="dxa" w:w="120"/>
            </w:tcMar>
          </w:tcPr>
          <w:p>
            <w:r>
              <w:rPr>
                <w:rFonts w:ascii="Calibri" w:cs="Calibri" w:eastAsia="Calibri" w:hAnsi="Calibri"/>
                <w:color w:val="222222"/>
                <w:sz w:val="19"/>
                <w:szCs w:val="19"/>
              </w:rPr>
              <w:t xml:space="preserve">Application dependency notes</w:t>
            </w:r>
          </w:p>
        </w:tc>
        <w:tc>
          <w:tcPr>
            <w:tcW w:type="dxa" w:w="4800"/>
            <w:shd w:fill="FFFFFF" w:val="clear"/>
            <w:tcMar>
              <w:top w:type="dxa" w:w="90"/>
              <w:left w:type="dxa" w:w="120"/>
              <w:bottom w:type="dxa" w:w="90"/>
              <w:right w:type="dxa" w:w="120"/>
            </w:tcMar>
          </w:tcPr>
          <w:p>
            <w:r>
              <w:rPr>
                <w:rFonts w:ascii="Calibri" w:cs="Calibri" w:eastAsia="Calibri" w:hAnsi="Calibri"/>
                <w:color w:val="222222"/>
                <w:sz w:val="19"/>
                <w:szCs w:val="19"/>
              </w:rPr>
              <w:t xml:space="preserve">Whether the new application release must deploy before, after, or simultaneously with the script</w:t>
            </w:r>
          </w:p>
        </w:tc>
        <w:tc>
          <w:tcPr>
            <w:tcW w:type="dxa" w:w="1500"/>
            <w:shd w:fill="FFFFFF" w:val="clear"/>
            <w:tcMar>
              <w:top w:type="dxa" w:w="90"/>
              <w:left w:type="dxa" w:w="120"/>
              <w:bottom w:type="dxa" w:w="90"/>
              <w:right w:type="dxa" w:w="120"/>
            </w:tcMar>
          </w:tcPr>
          <w:p>
            <w:r>
              <w:rPr>
                <w:rFonts w:ascii="Calibri" w:cs="Calibri" w:eastAsia="Calibri" w:hAnsi="Calibri"/>
                <w:color w:val="222222"/>
                <w:sz w:val="19"/>
                <w:szCs w:val="19"/>
              </w:rPr>
              <w:t xml:space="preserve">[ ]</w:t>
            </w:r>
          </w:p>
        </w:tc>
      </w:tr>
    </w:tbl>
    <w:p>
      <w:pPr>
        <w:spacing w:after="120"/>
      </w:pPr>
    </w:p>
    <w:p>
      <w:pPr>
        <w:spacing w:after="160"/>
      </w:pPr>
      <w:r>
        <w:rPr>
          <w:rFonts w:ascii="Calibri" w:cs="Calibri" w:eastAsia="Calibri" w:hAnsi="Calibri"/>
          <w:color w:val="222222"/>
          <w:sz w:val="21"/>
          <w:szCs w:val="21"/>
        </w:rPr>
        <w:t xml:space="preserve">If any row is unchecked, the migration is not scheduled. This keeps Infrastructure from having to reverse-engineer risk from a script it didn't write.</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3. Risk Classification</w:t>
      </w:r>
    </w:p>
    <w:p>
      <w:pPr>
        <w:spacing w:after="160"/>
      </w:pPr>
      <w:r>
        <w:rPr>
          <w:rFonts w:ascii="Calibri" w:cs="Calibri" w:eastAsia="Calibri" w:hAnsi="Calibri"/>
          <w:color w:val="222222"/>
          <w:sz w:val="21"/>
          <w:szCs w:val="21"/>
        </w:rPr>
        <w:t xml:space="preserve">Based on the intake in Section 2, the change is classified below. This classification determines the deployment window, backup depth, and rollback readiness required in Sections 4–6.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200"/>
      </w:tblGrid>
      <w:tr>
        <w:trPr>
          <w:tblHeader/>
        </w:trPr>
        <w:tc>
          <w:tcPr>
            <w:tcW w:type="dxa" w:w="18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Category</w:t>
            </w:r>
          </w:p>
        </w:tc>
        <w:tc>
          <w:tcPr>
            <w:tcW w:type="dxa" w:w="45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Definition</w:t>
            </w:r>
          </w:p>
        </w:tc>
        <w:tc>
          <w:tcPr>
            <w:tcW w:type="dxa" w:w="32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Deployment implication</w:t>
            </w:r>
          </w:p>
        </w:tc>
      </w:tr>
      <w:tr>
        <w:tc>
          <w:tcPr>
            <w:tcW w:type="dxa" w:w="1800"/>
            <w:shd w:fill="FFFFFF" w:val="clear"/>
            <w:tcMar>
              <w:top w:type="dxa" w:w="90"/>
              <w:left w:type="dxa" w:w="120"/>
              <w:bottom w:type="dxa" w:w="90"/>
              <w:right w:type="dxa" w:w="120"/>
            </w:tcMar>
          </w:tcPr>
          <w:p>
            <w:r>
              <w:rPr>
                <w:rFonts w:ascii="Calibri" w:cs="Calibri" w:eastAsia="Calibri" w:hAnsi="Calibri"/>
                <w:color w:val="222222"/>
                <w:sz w:val="19"/>
                <w:szCs w:val="19"/>
              </w:rPr>
              <w:t xml:space="preserve">Low risk</w:t>
            </w:r>
          </w:p>
        </w:tc>
        <w:tc>
          <w:tcPr>
            <w:tcW w:type="dxa" w:w="4500"/>
            <w:shd w:fill="FFFFFF" w:val="clear"/>
            <w:tcMar>
              <w:top w:type="dxa" w:w="90"/>
              <w:left w:type="dxa" w:w="120"/>
              <w:bottom w:type="dxa" w:w="90"/>
              <w:right w:type="dxa" w:w="120"/>
            </w:tcMar>
          </w:tcPr>
          <w:p>
            <w:r>
              <w:rPr>
                <w:rFonts w:ascii="Calibri" w:cs="Calibri" w:eastAsia="Calibri" w:hAnsi="Calibri"/>
                <w:color w:val="222222"/>
                <w:sz w:val="19"/>
                <w:szCs w:val="19"/>
              </w:rPr>
              <w:t xml:space="preserve">Purely additive — new tables/columns/indexes, no impact to existing rows or existing app behavior</w:t>
            </w:r>
          </w:p>
        </w:tc>
        <w:tc>
          <w:tcPr>
            <w:tcW w:type="dxa" w:w="3200"/>
            <w:shd w:fill="FFFFFF" w:val="clear"/>
            <w:tcMar>
              <w:top w:type="dxa" w:w="90"/>
              <w:left w:type="dxa" w:w="120"/>
              <w:bottom w:type="dxa" w:w="90"/>
              <w:right w:type="dxa" w:w="120"/>
            </w:tcMar>
          </w:tcPr>
          <w:p>
            <w:r>
              <w:rPr>
                <w:rFonts w:ascii="Calibri" w:cs="Calibri" w:eastAsia="Calibri" w:hAnsi="Calibri"/>
                <w:color w:val="222222"/>
                <w:sz w:val="19"/>
                <w:szCs w:val="19"/>
              </w:rPr>
              <w:t xml:space="preserve">Can run in a standard deployment window with a routine backup</w:t>
            </w:r>
          </w:p>
        </w:tc>
      </w:tr>
      <w:tr>
        <w:tc>
          <w:tcPr>
            <w:tcW w:type="dxa" w:w="1800"/>
            <w:shd w:fill="F2F2F2" w:val="clear"/>
            <w:tcMar>
              <w:top w:type="dxa" w:w="90"/>
              <w:left w:type="dxa" w:w="120"/>
              <w:bottom w:type="dxa" w:w="90"/>
              <w:right w:type="dxa" w:w="120"/>
            </w:tcMar>
          </w:tcPr>
          <w:p>
            <w:r>
              <w:rPr>
                <w:rFonts w:ascii="Calibri" w:cs="Calibri" w:eastAsia="Calibri" w:hAnsi="Calibri"/>
                <w:color w:val="222222"/>
                <w:sz w:val="19"/>
                <w:szCs w:val="19"/>
              </w:rPr>
              <w:t xml:space="preserve">Medium risk</w:t>
            </w:r>
          </w:p>
        </w:tc>
        <w:tc>
          <w:tcPr>
            <w:tcW w:type="dxa" w:w="4500"/>
            <w:shd w:fill="F2F2F2" w:val="clear"/>
            <w:tcMar>
              <w:top w:type="dxa" w:w="90"/>
              <w:left w:type="dxa" w:w="120"/>
              <w:bottom w:type="dxa" w:w="90"/>
              <w:right w:type="dxa" w:w="120"/>
            </w:tcMar>
          </w:tcPr>
          <w:p>
            <w:r>
              <w:rPr>
                <w:rFonts w:ascii="Calibri" w:cs="Calibri" w:eastAsia="Calibri" w:hAnsi="Calibri"/>
                <w:color w:val="222222"/>
                <w:sz w:val="19"/>
                <w:szCs w:val="19"/>
              </w:rPr>
              <w:t xml:space="preserve">Backward-compatible but touches existing data (e.g. backfilling a new column)</w:t>
            </w:r>
          </w:p>
        </w:tc>
        <w:tc>
          <w:tcPr>
            <w:tcW w:type="dxa" w:w="3200"/>
            <w:shd w:fill="F2F2F2" w:val="clear"/>
            <w:tcMar>
              <w:top w:type="dxa" w:w="90"/>
              <w:left w:type="dxa" w:w="120"/>
              <w:bottom w:type="dxa" w:w="90"/>
              <w:right w:type="dxa" w:w="120"/>
            </w:tcMar>
          </w:tcPr>
          <w:p>
            <w:r>
              <w:rPr>
                <w:rFonts w:ascii="Calibri" w:cs="Calibri" w:eastAsia="Calibri" w:hAnsi="Calibri"/>
                <w:color w:val="222222"/>
                <w:sz w:val="19"/>
                <w:szCs w:val="19"/>
              </w:rPr>
              <w:t xml:space="preserve">Requires a dedicated window, pre/post row-count verification, and a tested reversal path</w:t>
            </w:r>
          </w:p>
        </w:tc>
      </w:tr>
      <w:tr>
        <w:tc>
          <w:tcPr>
            <w:tcW w:type="dxa" w:w="1800"/>
            <w:shd w:fill="FFFFFF" w:val="clear"/>
            <w:tcMar>
              <w:top w:type="dxa" w:w="90"/>
              <w:left w:type="dxa" w:w="120"/>
              <w:bottom w:type="dxa" w:w="90"/>
              <w:right w:type="dxa" w:w="120"/>
            </w:tcMar>
          </w:tcPr>
          <w:p>
            <w:r>
              <w:rPr>
                <w:rFonts w:ascii="Calibri" w:cs="Calibri" w:eastAsia="Calibri" w:hAnsi="Calibri"/>
                <w:color w:val="222222"/>
                <w:sz w:val="19"/>
                <w:szCs w:val="19"/>
              </w:rPr>
              <w:t xml:space="preserve">High risk</w:t>
            </w:r>
          </w:p>
        </w:tc>
        <w:tc>
          <w:tcPr>
            <w:tcW w:type="dxa" w:w="4500"/>
            <w:shd w:fill="FFFFFF" w:val="clear"/>
            <w:tcMar>
              <w:top w:type="dxa" w:w="90"/>
              <w:left w:type="dxa" w:w="120"/>
              <w:bottom w:type="dxa" w:w="90"/>
              <w:right w:type="dxa" w:w="120"/>
            </w:tcMar>
          </w:tcPr>
          <w:p>
            <w:r>
              <w:rPr>
                <w:rFonts w:ascii="Calibri" w:cs="Calibri" w:eastAsia="Calibri" w:hAnsi="Calibri"/>
                <w:color w:val="222222"/>
                <w:sz w:val="19"/>
                <w:szCs w:val="19"/>
              </w:rPr>
              <w:t xml:space="preserve">Not backward-compatible while running (e.g. renamed/removed columns, type changes the running app can't tolerate)</w:t>
            </w:r>
          </w:p>
        </w:tc>
        <w:tc>
          <w:tcPr>
            <w:tcW w:type="dxa" w:w="3200"/>
            <w:shd w:fill="FFFFFF" w:val="clear"/>
            <w:tcMar>
              <w:top w:type="dxa" w:w="90"/>
              <w:left w:type="dxa" w:w="120"/>
              <w:bottom w:type="dxa" w:w="90"/>
              <w:right w:type="dxa" w:w="120"/>
            </w:tcMar>
          </w:tcPr>
          <w:p>
            <w:r>
              <w:rPr>
                <w:rFonts w:ascii="Calibri" w:cs="Calibri" w:eastAsia="Calibri" w:hAnsi="Calibri"/>
                <w:color w:val="222222"/>
                <w:sz w:val="19"/>
                <w:szCs w:val="19"/>
              </w:rPr>
              <w:t xml:space="preserve">Requires a maintenance window, application coordinated with the script per Section 2, full backup + restore test, and an active rollback owner on standby</w:t>
            </w:r>
          </w:p>
        </w:tc>
      </w:tr>
    </w:tbl>
    <w:p>
      <w:pPr>
        <w:spacing w:after="120"/>
      </w:pPr>
    </w:p>
    <w:p>
      <w:pPr>
        <w:spacing w:after="160"/>
      </w:pPr>
      <w:r>
        <w:rPr>
          <w:rFonts w:ascii="Calibri" w:cs="Calibri" w:eastAsia="Calibri" w:hAnsi="Calibri"/>
          <w:b/>
          <w:bCs/>
          <w:color w:val="222222"/>
          <w:sz w:val="21"/>
          <w:szCs w:val="21"/>
        </w:rPr>
        <w:t xml:space="preserve">This migration's classification: [LOW / MEDIUM / HIGH — fill in from Section 2 intake].</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4. Pre-Deployment Checklist</w:t>
      </w:r>
    </w:p>
    <w:p>
      <w:pPr>
        <w:pStyle w:val="Heading2"/>
        <w:spacing w:after="120" w:before="300"/>
      </w:pPr>
      <w:r>
        <w:rPr>
          <w:rFonts w:ascii="Calibri" w:cs="Calibri" w:eastAsia="Calibri" w:hAnsi="Calibri"/>
          <w:b/>
          <w:bCs/>
          <w:color w:val="1F3B57"/>
          <w:sz w:val="24"/>
          <w:szCs w:val="24"/>
        </w:rPr>
        <w:t xml:space="preserve">4.1 From development</w:t>
      </w:r>
    </w:p>
    <w:p>
      <w:pPr>
        <w:pStyle w:val="ListParagraph"/>
        <w:numPr>
          <w:ilvl w:val="0"/>
          <w:numId w:val="2"/>
        </w:numPr>
        <w:spacing w:after="80"/>
      </w:pPr>
      <w:r>
        <w:rPr>
          <w:rFonts w:ascii="Calibri" w:cs="Calibri" w:eastAsia="Calibri" w:hAnsi="Calibri"/>
          <w:color w:val="222222"/>
          <w:sz w:val="21"/>
          <w:szCs w:val="21"/>
        </w:rPr>
        <w:t xml:space="preserve">All items in Section 2 intake table are checked off</w:t>
      </w:r>
    </w:p>
    <w:p>
      <w:pPr>
        <w:pStyle w:val="ListParagraph"/>
        <w:numPr>
          <w:ilvl w:val="0"/>
          <w:numId w:val="2"/>
        </w:numPr>
        <w:spacing w:after="80"/>
      </w:pPr>
      <w:r>
        <w:rPr>
          <w:rFonts w:ascii="Calibri" w:cs="Calibri" w:eastAsia="Calibri" w:hAnsi="Calibri"/>
          <w:color w:val="222222"/>
          <w:sz w:val="21"/>
          <w:szCs w:val="21"/>
        </w:rPr>
        <w:t xml:space="preserve">Script has been reviewed for any operation that would lock large tables for an extended period</w:t>
      </w:r>
    </w:p>
    <w:p>
      <w:pPr>
        <w:pStyle w:val="ListParagraph"/>
        <w:numPr>
          <w:ilvl w:val="0"/>
          <w:numId w:val="2"/>
        </w:numPr>
        <w:spacing w:after="80"/>
      </w:pPr>
      <w:r>
        <w:rPr>
          <w:rFonts w:ascii="Calibri" w:cs="Calibri" w:eastAsia="Calibri" w:hAnsi="Calibri"/>
          <w:color w:val="222222"/>
          <w:sz w:val="21"/>
          <w:szCs w:val="21"/>
        </w:rPr>
        <w:t xml:space="preserve">Dev team has confirmed the script is idempotent or safe to resume if interrupted partway through</w:t>
      </w:r>
    </w:p>
    <w:p>
      <w:pPr>
        <w:pStyle w:val="Heading2"/>
        <w:spacing w:after="120" w:before="300"/>
      </w:pPr>
      <w:r>
        <w:rPr>
          <w:rFonts w:ascii="Calibri" w:cs="Calibri" w:eastAsia="Calibri" w:hAnsi="Calibri"/>
          <w:b/>
          <w:bCs/>
          <w:color w:val="1F3B57"/>
          <w:sz w:val="24"/>
          <w:szCs w:val="24"/>
        </w:rPr>
        <w:t xml:space="preserve">4.2 Data safety</w:t>
      </w:r>
    </w:p>
    <w:p>
      <w:pPr>
        <w:pStyle w:val="ListParagraph"/>
        <w:numPr>
          <w:ilvl w:val="0"/>
          <w:numId w:val="2"/>
        </w:numPr>
        <w:spacing w:after="80"/>
      </w:pPr>
      <w:r>
        <w:rPr>
          <w:rFonts w:ascii="Calibri" w:cs="Calibri" w:eastAsia="Calibri" w:hAnsi="Calibri"/>
          <w:color w:val="222222"/>
          <w:sz w:val="21"/>
          <w:szCs w:val="21"/>
        </w:rPr>
        <w:t xml:space="preserve">Full production backup taken and restore-tested against a scratch environment (Section 5)</w:t>
      </w:r>
    </w:p>
    <w:p>
      <w:pPr>
        <w:pStyle w:val="ListParagraph"/>
        <w:numPr>
          <w:ilvl w:val="0"/>
          <w:numId w:val="2"/>
        </w:numPr>
        <w:spacing w:after="80"/>
      </w:pPr>
      <w:r>
        <w:rPr>
          <w:rFonts w:ascii="Calibri" w:cs="Calibri" w:eastAsia="Calibri" w:hAnsi="Calibri"/>
          <w:color w:val="222222"/>
          <w:sz w:val="21"/>
          <w:szCs w:val="21"/>
        </w:rPr>
        <w:t xml:space="preserve">Pre-migration row counts / checksums captured for every affected table</w:t>
      </w:r>
    </w:p>
    <w:p>
      <w:pPr>
        <w:pStyle w:val="ListParagraph"/>
        <w:numPr>
          <w:ilvl w:val="0"/>
          <w:numId w:val="2"/>
        </w:numPr>
        <w:spacing w:after="80"/>
      </w:pPr>
      <w:r>
        <w:rPr>
          <w:rFonts w:ascii="Calibri" w:cs="Calibri" w:eastAsia="Calibri" w:hAnsi="Calibri"/>
          <w:color w:val="222222"/>
          <w:sz w:val="21"/>
          <w:szCs w:val="21"/>
        </w:rPr>
        <w:t xml:space="preserve">Recovery window confirmed (backup + any point-in-time recovery available from the database provider)</w:t>
      </w:r>
    </w:p>
    <w:p>
      <w:pPr>
        <w:pStyle w:val="Heading2"/>
        <w:spacing w:after="120" w:before="300"/>
      </w:pPr>
      <w:r>
        <w:rPr>
          <w:rFonts w:ascii="Calibri" w:cs="Calibri" w:eastAsia="Calibri" w:hAnsi="Calibri"/>
          <w:b/>
          <w:bCs/>
          <w:color w:val="1F3B57"/>
          <w:sz w:val="24"/>
          <w:szCs w:val="24"/>
        </w:rPr>
        <w:t xml:space="preserve">4.3 Environment readiness</w:t>
      </w:r>
    </w:p>
    <w:p>
      <w:pPr>
        <w:pStyle w:val="ListParagraph"/>
        <w:numPr>
          <w:ilvl w:val="0"/>
          <w:numId w:val="2"/>
        </w:numPr>
        <w:spacing w:after="80"/>
      </w:pPr>
      <w:r>
        <w:rPr>
          <w:rFonts w:ascii="Calibri" w:cs="Calibri" w:eastAsia="Calibri" w:hAnsi="Calibri"/>
          <w:color w:val="222222"/>
          <w:sz w:val="21"/>
          <w:szCs w:val="21"/>
        </w:rPr>
        <w:t xml:space="preserve">Production database version/configuration matches what the script was tested against on test</w:t>
      </w:r>
    </w:p>
    <w:p>
      <w:pPr>
        <w:pStyle w:val="ListParagraph"/>
        <w:numPr>
          <w:ilvl w:val="0"/>
          <w:numId w:val="2"/>
        </w:numPr>
        <w:spacing w:after="80"/>
      </w:pPr>
      <w:r>
        <w:rPr>
          <w:rFonts w:ascii="Calibri" w:cs="Calibri" w:eastAsia="Calibri" w:hAnsi="Calibri"/>
          <w:color w:val="222222"/>
          <w:sz w:val="21"/>
          <w:szCs w:val="21"/>
        </w:rPr>
        <w:t xml:space="preserve">Deployment pipeline for running the script has been dry-run against a non-production target</w:t>
      </w:r>
    </w:p>
    <w:p>
      <w:pPr>
        <w:pStyle w:val="ListParagraph"/>
        <w:numPr>
          <w:ilvl w:val="0"/>
          <w:numId w:val="2"/>
        </w:numPr>
        <w:spacing w:after="80"/>
      </w:pPr>
      <w:r>
        <w:rPr>
          <w:rFonts w:ascii="Calibri" w:cs="Calibri" w:eastAsia="Calibri" w:hAnsi="Calibri"/>
          <w:color w:val="222222"/>
          <w:sz w:val="21"/>
          <w:szCs w:val="21"/>
        </w:rPr>
        <w:t xml:space="preserve">Maintenance mode / traffic draining mechanism confirmed working, if required by the risk classification</w:t>
      </w:r>
    </w:p>
    <w:p>
      <w:pPr>
        <w:pStyle w:val="Heading2"/>
        <w:spacing w:after="120" w:before="300"/>
      </w:pPr>
      <w:r>
        <w:rPr>
          <w:rFonts w:ascii="Calibri" w:cs="Calibri" w:eastAsia="Calibri" w:hAnsi="Calibri"/>
          <w:b/>
          <w:bCs/>
          <w:color w:val="1F3B57"/>
          <w:sz w:val="24"/>
          <w:szCs w:val="24"/>
        </w:rPr>
        <w:t xml:space="preserve">4.4 People &amp; communication</w:t>
      </w:r>
    </w:p>
    <w:p>
      <w:pPr>
        <w:pStyle w:val="ListParagraph"/>
        <w:numPr>
          <w:ilvl w:val="0"/>
          <w:numId w:val="2"/>
        </w:numPr>
        <w:spacing w:after="80"/>
      </w:pPr>
      <w:r>
        <w:rPr>
          <w:rFonts w:ascii="Calibri" w:cs="Calibri" w:eastAsia="Calibri" w:hAnsi="Calibri"/>
          <w:color w:val="222222"/>
          <w:sz w:val="21"/>
          <w:szCs w:val="21"/>
        </w:rPr>
        <w:t xml:space="preserve">Deployment window scheduled and communicated to stakeholders (Section 8)</w:t>
      </w:r>
    </w:p>
    <w:p>
      <w:pPr>
        <w:pStyle w:val="ListParagraph"/>
        <w:numPr>
          <w:ilvl w:val="0"/>
          <w:numId w:val="2"/>
        </w:numPr>
        <w:spacing w:after="80"/>
      </w:pPr>
      <w:r>
        <w:rPr>
          <w:rFonts w:ascii="Calibri" w:cs="Calibri" w:eastAsia="Calibri" w:hAnsi="Calibri"/>
          <w:color w:val="222222"/>
          <w:sz w:val="21"/>
          <w:szCs w:val="21"/>
        </w:rPr>
        <w:t xml:space="preserve">Rollback owner named and available for the full duration of the window: [Name]</w:t>
      </w:r>
    </w:p>
    <w:p>
      <w:pPr>
        <w:pStyle w:val="ListParagraph"/>
        <w:numPr>
          <w:ilvl w:val="0"/>
          <w:numId w:val="2"/>
        </w:numPr>
        <w:spacing w:after="80"/>
      </w:pPr>
      <w:r>
        <w:rPr>
          <w:rFonts w:ascii="Calibri" w:cs="Calibri" w:eastAsia="Calibri" w:hAnsi="Calibri"/>
          <w:color w:val="222222"/>
          <w:sz w:val="21"/>
          <w:szCs w:val="21"/>
        </w:rPr>
        <w:t xml:space="preserve">Development contact available on standby in case the script behaves unexpectedly: [Name]</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5. Backup &amp; Recovery Strategy</w:t>
      </w:r>
    </w:p>
    <w:p>
      <w:pPr>
        <w:pStyle w:val="Heading2"/>
        <w:spacing w:after="120" w:before="300"/>
      </w:pPr>
      <w:r>
        <w:rPr>
          <w:rFonts w:ascii="Calibri" w:cs="Calibri" w:eastAsia="Calibri" w:hAnsi="Calibri"/>
          <w:b/>
          <w:bCs/>
          <w:color w:val="1F3B57"/>
          <w:sz w:val="24"/>
          <w:szCs w:val="24"/>
        </w:rPr>
        <w:t xml:space="preserve">5.1 Pre-migration backup</w:t>
      </w:r>
    </w:p>
    <w:p>
      <w:pPr>
        <w:spacing w:after="160"/>
      </w:pPr>
      <w:r>
        <w:rPr>
          <w:rFonts w:ascii="Calibri" w:cs="Calibri" w:eastAsia="Calibri" w:hAnsi="Calibri"/>
          <w:color w:val="222222"/>
          <w:sz w:val="21"/>
          <w:szCs w:val="21"/>
        </w:rPr>
        <w:t xml:space="preserve">Taken immediately before the deployment window starts, using your database platform's native backup mechanism (e.g. a managed snapshot, or a native dump/export tool appropriate to the database engine in use).</w:t>
      </w:r>
    </w:p>
    <w:p>
      <w:pPr>
        <w:pStyle w:val="ListParagraph"/>
        <w:numPr>
          <w:ilvl w:val="0"/>
          <w:numId w:val="2"/>
        </w:numPr>
        <w:spacing w:after="80"/>
      </w:pPr>
      <w:r>
        <w:rPr>
          <w:rFonts w:ascii="Calibri" w:cs="Calibri" w:eastAsia="Calibri" w:hAnsi="Calibri"/>
          <w:color w:val="222222"/>
          <w:sz w:val="21"/>
          <w:szCs w:val="21"/>
        </w:rPr>
        <w:t xml:space="preserve">Backup is copied off the primary host to separate, durable storage — not left only on the database server</w:t>
      </w:r>
    </w:p>
    <w:p>
      <w:pPr>
        <w:pStyle w:val="ListParagraph"/>
        <w:numPr>
          <w:ilvl w:val="0"/>
          <w:numId w:val="2"/>
        </w:numPr>
        <w:spacing w:after="80"/>
      </w:pPr>
      <w:r>
        <w:rPr>
          <w:rFonts w:ascii="Calibri" w:cs="Calibri" w:eastAsia="Calibri" w:hAnsi="Calibri"/>
          <w:color w:val="222222"/>
          <w:sz w:val="21"/>
          <w:szCs w:val="21"/>
        </w:rPr>
        <w:t xml:space="preserve">Backup is restore-tested against a scratch/staging instance before the migration proceeds</w:t>
      </w:r>
    </w:p>
    <w:p>
      <w:pPr>
        <w:pStyle w:val="ListParagraph"/>
        <w:numPr>
          <w:ilvl w:val="0"/>
          <w:numId w:val="2"/>
        </w:numPr>
        <w:spacing w:after="80"/>
      </w:pPr>
      <w:r>
        <w:rPr>
          <w:rFonts w:ascii="Calibri" w:cs="Calibri" w:eastAsia="Calibri" w:hAnsi="Calibri"/>
          <w:color w:val="222222"/>
          <w:sz w:val="21"/>
          <w:szCs w:val="21"/>
        </w:rPr>
        <w:t xml:space="preserve">Retention: kept for at least [30] days following the migration</w:t>
      </w:r>
    </w:p>
    <w:p>
      <w:pPr>
        <w:pStyle w:val="Heading2"/>
        <w:spacing w:after="120" w:before="300"/>
      </w:pPr>
      <w:r>
        <w:rPr>
          <w:rFonts w:ascii="Calibri" w:cs="Calibri" w:eastAsia="Calibri" w:hAnsi="Calibri"/>
          <w:b/>
          <w:bCs/>
          <w:color w:val="1F3B57"/>
          <w:sz w:val="24"/>
          <w:szCs w:val="24"/>
        </w:rPr>
        <w:t xml:space="preserve">5.2 Point-in-time recovery</w:t>
      </w:r>
    </w:p>
    <w:p>
      <w:pPr>
        <w:spacing w:after="160"/>
      </w:pPr>
      <w:r>
        <w:rPr>
          <w:rFonts w:ascii="Calibri" w:cs="Calibri" w:eastAsia="Calibri" w:hAnsi="Calibri"/>
          <w:color w:val="222222"/>
          <w:sz w:val="21"/>
          <w:szCs w:val="21"/>
        </w:rPr>
        <w:t xml:space="preserve">Confirm whether the production database has point-in-time recovery or continuous backup enabled, and note the achievable recovery window here: [X hours/days]. If not available, the pre-migration snapshot is the sole recovery point — treat the risk classification in Section 3 accordingly.</w:t>
      </w:r>
    </w:p>
    <w:p>
      <w:pPr>
        <w:pStyle w:val="Heading2"/>
        <w:spacing w:after="120" w:before="300"/>
      </w:pPr>
      <w:r>
        <w:rPr>
          <w:rFonts w:ascii="Calibri" w:cs="Calibri" w:eastAsia="Calibri" w:hAnsi="Calibri"/>
          <w:b/>
          <w:bCs/>
          <w:color w:val="1F3B57"/>
          <w:sz w:val="24"/>
          <w:szCs w:val="24"/>
        </w:rPr>
        <w:t xml:space="preserve">5.3 Rollback triggers</w:t>
      </w:r>
    </w:p>
    <w:p>
      <w:pPr>
        <w:spacing w:after="160"/>
      </w:pPr>
      <w:r>
        <w:rPr>
          <w:rFonts w:ascii="Calibri" w:cs="Calibri" w:eastAsia="Calibri" w:hAnsi="Calibri"/>
          <w:color w:val="222222"/>
          <w:sz w:val="21"/>
          <w:szCs w:val="21"/>
        </w:rPr>
        <w:t xml:space="preserve">Conditions under which the team aborts and rolls back rather than pushing forward:</w:t>
      </w:r>
    </w:p>
    <w:p>
      <w:pPr>
        <w:pStyle w:val="ListParagraph"/>
        <w:numPr>
          <w:ilvl w:val="0"/>
          <w:numId w:val="2"/>
        </w:numPr>
        <w:spacing w:after="80"/>
      </w:pPr>
      <w:r>
        <w:rPr>
          <w:rFonts w:ascii="Calibri" w:cs="Calibri" w:eastAsia="Calibri" w:hAnsi="Calibri"/>
          <w:color w:val="222222"/>
          <w:sz w:val="21"/>
          <w:szCs w:val="21"/>
        </w:rPr>
        <w:t xml:space="preserve">The migration script exits with an error or does not complete within its estimated runtime plus a reasonable buffer</w:t>
      </w:r>
    </w:p>
    <w:p>
      <w:pPr>
        <w:pStyle w:val="ListParagraph"/>
        <w:numPr>
          <w:ilvl w:val="0"/>
          <w:numId w:val="2"/>
        </w:numPr>
        <w:spacing w:after="80"/>
      </w:pPr>
      <w:r>
        <w:rPr>
          <w:rFonts w:ascii="Calibri" w:cs="Calibri" w:eastAsia="Calibri" w:hAnsi="Calibri"/>
          <w:color w:val="222222"/>
          <w:sz w:val="21"/>
          <w:szCs w:val="21"/>
        </w:rPr>
        <w:t xml:space="preserve">Post-migration verification (Section 6.3) does not match expected row counts or checksums</w:t>
      </w:r>
    </w:p>
    <w:p>
      <w:pPr>
        <w:pStyle w:val="ListParagraph"/>
        <w:numPr>
          <w:ilvl w:val="0"/>
          <w:numId w:val="2"/>
        </w:numPr>
        <w:spacing w:after="80"/>
      </w:pPr>
      <w:r>
        <w:rPr>
          <w:rFonts w:ascii="Calibri" w:cs="Calibri" w:eastAsia="Calibri" w:hAnsi="Calibri"/>
          <w:color w:val="222222"/>
          <w:sz w:val="21"/>
          <w:szCs w:val="21"/>
        </w:rPr>
        <w:t xml:space="preserve">Application error rate exceeds an agreed threshold in the first period after deployment</w:t>
      </w:r>
    </w:p>
    <w:p>
      <w:pPr>
        <w:pStyle w:val="ListParagraph"/>
        <w:numPr>
          <w:ilvl w:val="0"/>
          <w:numId w:val="2"/>
        </w:numPr>
        <w:spacing w:after="80"/>
      </w:pPr>
      <w:r>
        <w:rPr>
          <w:rFonts w:ascii="Calibri" w:cs="Calibri" w:eastAsia="Calibri" w:hAnsi="Calibri"/>
          <w:color w:val="222222"/>
          <w:sz w:val="21"/>
          <w:szCs w:val="21"/>
        </w:rPr>
        <w:t xml:space="preserve">Any unexpected data state is discovered in an affected table</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6. Rollout Plan</w:t>
      </w:r>
    </w:p>
    <w:p>
      <w:pPr>
        <w:pStyle w:val="Heading2"/>
        <w:spacing w:after="120" w:before="300"/>
      </w:pPr>
      <w:r>
        <w:rPr>
          <w:rFonts w:ascii="Calibri" w:cs="Calibri" w:eastAsia="Calibri" w:hAnsi="Calibri"/>
          <w:b/>
          <w:bCs/>
          <w:color w:val="1F3B57"/>
          <w:sz w:val="24"/>
          <w:szCs w:val="24"/>
        </w:rPr>
        <w:t xml:space="preserve">6.1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4900"/>
        <w:gridCol w:w="2000"/>
        <w:gridCol w:w="1900"/>
      </w:tblGrid>
      <w:tr>
        <w:trPr>
          <w:tblHeader/>
        </w:trPr>
        <w:tc>
          <w:tcPr>
            <w:tcW w:type="dxa" w:w="7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Step</w:t>
            </w:r>
          </w:p>
        </w:tc>
        <w:tc>
          <w:tcPr>
            <w:tcW w:type="dxa" w:w="49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Action</w:t>
            </w:r>
          </w:p>
        </w:tc>
        <w:tc>
          <w:tcPr>
            <w:tcW w:type="dxa" w:w="20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Owner</w:t>
            </w:r>
          </w:p>
        </w:tc>
        <w:tc>
          <w:tcPr>
            <w:tcW w:type="dxa" w:w="19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Est. Duration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1</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Freeze non-essential production deploys</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w:t>
            </w:r>
          </w:p>
        </w:tc>
      </w:tr>
      <w:tr>
        <w:tc>
          <w:tcPr>
            <w:tcW w:type="dxa" w:w="700"/>
            <w:shd w:fill="F2F2F2" w:val="clear"/>
            <w:tcMar>
              <w:top w:type="dxa" w:w="90"/>
              <w:left w:type="dxa" w:w="120"/>
              <w:bottom w:type="dxa" w:w="90"/>
              <w:right w:type="dxa" w:w="120"/>
            </w:tcMar>
          </w:tcPr>
          <w:p>
            <w:r>
              <w:rPr>
                <w:rFonts w:ascii="Calibri" w:cs="Calibri" w:eastAsia="Calibri" w:hAnsi="Calibri"/>
                <w:color w:val="222222"/>
                <w:sz w:val="19"/>
                <w:szCs w:val="19"/>
              </w:rPr>
              <w:t xml:space="preserve">2</w:t>
            </w:r>
          </w:p>
        </w:tc>
        <w:tc>
          <w:tcPr>
            <w:tcW w:type="dxa" w:w="4900"/>
            <w:shd w:fill="F2F2F2" w:val="clear"/>
            <w:tcMar>
              <w:top w:type="dxa" w:w="90"/>
              <w:left w:type="dxa" w:w="120"/>
              <w:bottom w:type="dxa" w:w="90"/>
              <w:right w:type="dxa" w:w="120"/>
            </w:tcMar>
          </w:tcPr>
          <w:p>
            <w:r>
              <w:rPr>
                <w:rFonts w:ascii="Calibri" w:cs="Calibri" w:eastAsia="Calibri" w:hAnsi="Calibri"/>
                <w:color w:val="222222"/>
                <w:sz w:val="19"/>
                <w:szCs w:val="19"/>
              </w:rPr>
              <w:t xml:space="preserve">Announce deployment window start</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2F2F2" w:val="clear"/>
            <w:tcMar>
              <w:top w:type="dxa" w:w="90"/>
              <w:left w:type="dxa" w:w="120"/>
              <w:bottom w:type="dxa" w:w="90"/>
              <w:right w:type="dxa" w:w="120"/>
            </w:tcMar>
          </w:tcPr>
          <w:p>
            <w:r>
              <w:rPr>
                <w:rFonts w:ascii="Calibri" w:cs="Calibri" w:eastAsia="Calibri" w:hAnsi="Calibri"/>
                <w:color w:val="222222"/>
                <w:sz w:val="19"/>
                <w:szCs w:val="19"/>
              </w:rPr>
              <w:t xml:space="preserve">5 min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3</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Take and verify pre-migration backup (5.1)</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[X min]</w:t>
            </w:r>
          </w:p>
        </w:tc>
      </w:tr>
      <w:tr>
        <w:tc>
          <w:tcPr>
            <w:tcW w:type="dxa" w:w="700"/>
            <w:shd w:fill="F2F2F2" w:val="clear"/>
            <w:tcMar>
              <w:top w:type="dxa" w:w="90"/>
              <w:left w:type="dxa" w:w="120"/>
              <w:bottom w:type="dxa" w:w="90"/>
              <w:right w:type="dxa" w:w="120"/>
            </w:tcMar>
          </w:tcPr>
          <w:p>
            <w:r>
              <w:rPr>
                <w:rFonts w:ascii="Calibri" w:cs="Calibri" w:eastAsia="Calibri" w:hAnsi="Calibri"/>
                <w:color w:val="222222"/>
                <w:sz w:val="19"/>
                <w:szCs w:val="19"/>
              </w:rPr>
              <w:t xml:space="preserve">4</w:t>
            </w:r>
          </w:p>
        </w:tc>
        <w:tc>
          <w:tcPr>
            <w:tcW w:type="dxa" w:w="4900"/>
            <w:shd w:fill="F2F2F2" w:val="clear"/>
            <w:tcMar>
              <w:top w:type="dxa" w:w="90"/>
              <w:left w:type="dxa" w:w="120"/>
              <w:bottom w:type="dxa" w:w="90"/>
              <w:right w:type="dxa" w:w="120"/>
            </w:tcMar>
          </w:tcPr>
          <w:p>
            <w:r>
              <w:rPr>
                <w:rFonts w:ascii="Calibri" w:cs="Calibri" w:eastAsia="Calibri" w:hAnsi="Calibri"/>
                <w:color w:val="222222"/>
                <w:sz w:val="19"/>
                <w:szCs w:val="19"/>
              </w:rPr>
              <w:t xml:space="preserve">Enable maintenance mode / drain traffic, if required by risk class</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2F2F2" w:val="clear"/>
            <w:tcMar>
              <w:top w:type="dxa" w:w="90"/>
              <w:left w:type="dxa" w:w="120"/>
              <w:bottom w:type="dxa" w:w="90"/>
              <w:right w:type="dxa" w:w="120"/>
            </w:tcMar>
          </w:tcPr>
          <w:p>
            <w:r>
              <w:rPr>
                <w:rFonts w:ascii="Calibri" w:cs="Calibri" w:eastAsia="Calibri" w:hAnsi="Calibri"/>
                <w:color w:val="222222"/>
                <w:sz w:val="19"/>
                <w:szCs w:val="19"/>
              </w:rPr>
              <w:t xml:space="preserve">2 min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5</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Execute migration script via deployment pipeline</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[X min — per dev estimate]</w:t>
            </w:r>
          </w:p>
        </w:tc>
      </w:tr>
      <w:tr>
        <w:tc>
          <w:tcPr>
            <w:tcW w:type="dxa" w:w="700"/>
            <w:shd w:fill="F2F2F2" w:val="clear"/>
            <w:tcMar>
              <w:top w:type="dxa" w:w="90"/>
              <w:left w:type="dxa" w:w="120"/>
              <w:bottom w:type="dxa" w:w="90"/>
              <w:right w:type="dxa" w:w="120"/>
            </w:tcMar>
          </w:tcPr>
          <w:p>
            <w:r>
              <w:rPr>
                <w:rFonts w:ascii="Calibri" w:cs="Calibri" w:eastAsia="Calibri" w:hAnsi="Calibri"/>
                <w:color w:val="222222"/>
                <w:sz w:val="19"/>
                <w:szCs w:val="19"/>
              </w:rPr>
              <w:t xml:space="preserve">6</w:t>
            </w:r>
          </w:p>
        </w:tc>
        <w:tc>
          <w:tcPr>
            <w:tcW w:type="dxa" w:w="4900"/>
            <w:shd w:fill="F2F2F2" w:val="clear"/>
            <w:tcMar>
              <w:top w:type="dxa" w:w="90"/>
              <w:left w:type="dxa" w:w="120"/>
              <w:bottom w:type="dxa" w:w="90"/>
              <w:right w:type="dxa" w:w="120"/>
            </w:tcMar>
          </w:tcPr>
          <w:p>
            <w:r>
              <w:rPr>
                <w:rFonts w:ascii="Calibri" w:cs="Calibri" w:eastAsia="Calibri" w:hAnsi="Calibri"/>
                <w:color w:val="222222"/>
                <w:sz w:val="19"/>
                <w:szCs w:val="19"/>
              </w:rPr>
              <w:t xml:space="preserve">Run post-migration verification (6.3)</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2F2F2" w:val="clear"/>
            <w:tcMar>
              <w:top w:type="dxa" w:w="90"/>
              <w:left w:type="dxa" w:w="120"/>
              <w:bottom w:type="dxa" w:w="90"/>
              <w:right w:type="dxa" w:w="120"/>
            </w:tcMar>
          </w:tcPr>
          <w:p>
            <w:r>
              <w:rPr>
                <w:rFonts w:ascii="Calibri" w:cs="Calibri" w:eastAsia="Calibri" w:hAnsi="Calibri"/>
                <w:color w:val="222222"/>
                <w:sz w:val="19"/>
                <w:szCs w:val="19"/>
              </w:rPr>
              <w:t xml:space="preserve">10 min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7</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Deploy dependent application release, if applicable</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[X min]</w:t>
            </w:r>
          </w:p>
        </w:tc>
      </w:tr>
      <w:tr>
        <w:tc>
          <w:tcPr>
            <w:tcW w:type="dxa" w:w="700"/>
            <w:shd w:fill="F2F2F2" w:val="clear"/>
            <w:tcMar>
              <w:top w:type="dxa" w:w="90"/>
              <w:left w:type="dxa" w:w="120"/>
              <w:bottom w:type="dxa" w:w="90"/>
              <w:right w:type="dxa" w:w="120"/>
            </w:tcMar>
          </w:tcPr>
          <w:p>
            <w:r>
              <w:rPr>
                <w:rFonts w:ascii="Calibri" w:cs="Calibri" w:eastAsia="Calibri" w:hAnsi="Calibri"/>
                <w:color w:val="222222"/>
                <w:sz w:val="19"/>
                <w:szCs w:val="19"/>
              </w:rPr>
              <w:t xml:space="preserve">8</w:t>
            </w:r>
          </w:p>
        </w:tc>
        <w:tc>
          <w:tcPr>
            <w:tcW w:type="dxa" w:w="4900"/>
            <w:shd w:fill="F2F2F2" w:val="clear"/>
            <w:tcMar>
              <w:top w:type="dxa" w:w="90"/>
              <w:left w:type="dxa" w:w="120"/>
              <w:bottom w:type="dxa" w:w="90"/>
              <w:right w:type="dxa" w:w="120"/>
            </w:tcMar>
          </w:tcPr>
          <w:p>
            <w:r>
              <w:rPr>
                <w:rFonts w:ascii="Calibri" w:cs="Calibri" w:eastAsia="Calibri" w:hAnsi="Calibri"/>
                <w:color w:val="222222"/>
                <w:sz w:val="19"/>
                <w:szCs w:val="19"/>
              </w:rPr>
              <w:t xml:space="preserve">Run smoke tests on critical flows (6.4)</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2F2F2" w:val="clear"/>
            <w:tcMar>
              <w:top w:type="dxa" w:w="90"/>
              <w:left w:type="dxa" w:w="120"/>
              <w:bottom w:type="dxa" w:w="90"/>
              <w:right w:type="dxa" w:w="120"/>
            </w:tcMar>
          </w:tcPr>
          <w:p>
            <w:r>
              <w:rPr>
                <w:rFonts w:ascii="Calibri" w:cs="Calibri" w:eastAsia="Calibri" w:hAnsi="Calibri"/>
                <w:color w:val="222222"/>
                <w:sz w:val="19"/>
                <w:szCs w:val="19"/>
              </w:rPr>
              <w:t xml:space="preserve">15 min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9</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Disable maintenance mode / restore traffic</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2 min</w:t>
            </w:r>
          </w:p>
        </w:tc>
      </w:tr>
      <w:tr>
        <w:tc>
          <w:tcPr>
            <w:tcW w:type="dxa" w:w="700"/>
            <w:shd w:fill="F2F2F2" w:val="clear"/>
            <w:tcMar>
              <w:top w:type="dxa" w:w="90"/>
              <w:left w:type="dxa" w:w="120"/>
              <w:bottom w:type="dxa" w:w="90"/>
              <w:right w:type="dxa" w:w="120"/>
            </w:tcMar>
          </w:tcPr>
          <w:p>
            <w:r>
              <w:rPr>
                <w:rFonts w:ascii="Calibri" w:cs="Calibri" w:eastAsia="Calibri" w:hAnsi="Calibri"/>
                <w:color w:val="222222"/>
                <w:sz w:val="19"/>
                <w:szCs w:val="19"/>
              </w:rPr>
              <w:t xml:space="preserve">10</w:t>
            </w:r>
          </w:p>
        </w:tc>
        <w:tc>
          <w:tcPr>
            <w:tcW w:type="dxa" w:w="4900"/>
            <w:shd w:fill="F2F2F2" w:val="clear"/>
            <w:tcMar>
              <w:top w:type="dxa" w:w="90"/>
              <w:left w:type="dxa" w:w="120"/>
              <w:bottom w:type="dxa" w:w="90"/>
              <w:right w:type="dxa" w:w="120"/>
            </w:tcMar>
          </w:tcPr>
          <w:p>
            <w:r>
              <w:rPr>
                <w:rFonts w:ascii="Calibri" w:cs="Calibri" w:eastAsia="Calibri" w:hAnsi="Calibri"/>
                <w:color w:val="222222"/>
                <w:sz w:val="19"/>
                <w:szCs w:val="19"/>
              </w:rPr>
              <w:t xml:space="preserve">Actively monitor error rates and logs</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2F2F2" w:val="clear"/>
            <w:tcMar>
              <w:top w:type="dxa" w:w="90"/>
              <w:left w:type="dxa" w:w="120"/>
              <w:bottom w:type="dxa" w:w="90"/>
              <w:right w:type="dxa" w:w="120"/>
            </w:tcMar>
          </w:tcPr>
          <w:p>
            <w:r>
              <w:rPr>
                <w:rFonts w:ascii="Calibri" w:cs="Calibri" w:eastAsia="Calibri" w:hAnsi="Calibri"/>
                <w:color w:val="222222"/>
                <w:sz w:val="19"/>
                <w:szCs w:val="19"/>
              </w:rPr>
              <w:t xml:space="preserve">30–60 min</w:t>
            </w:r>
          </w:p>
        </w:tc>
      </w:tr>
      <w:tr>
        <w:tc>
          <w:tcPr>
            <w:tcW w:type="dxa" w:w="700"/>
            <w:shd w:fill="FFFFFF" w:val="clear"/>
            <w:tcMar>
              <w:top w:type="dxa" w:w="90"/>
              <w:left w:type="dxa" w:w="120"/>
              <w:bottom w:type="dxa" w:w="90"/>
              <w:right w:type="dxa" w:w="120"/>
            </w:tcMar>
          </w:tcPr>
          <w:p>
            <w:r>
              <w:rPr>
                <w:rFonts w:ascii="Calibri" w:cs="Calibri" w:eastAsia="Calibri" w:hAnsi="Calibri"/>
                <w:color w:val="222222"/>
                <w:sz w:val="19"/>
                <w:szCs w:val="19"/>
              </w:rPr>
              <w:t xml:space="preserve">11</w:t>
            </w:r>
          </w:p>
        </w:tc>
        <w:tc>
          <w:tcPr>
            <w:tcW w:type="dxa" w:w="4900"/>
            <w:shd w:fill="FFFFFF" w:val="clear"/>
            <w:tcMar>
              <w:top w:type="dxa" w:w="90"/>
              <w:left w:type="dxa" w:w="120"/>
              <w:bottom w:type="dxa" w:w="90"/>
              <w:right w:type="dxa" w:w="120"/>
            </w:tcMar>
          </w:tcPr>
          <w:p>
            <w:r>
              <w:rPr>
                <w:rFonts w:ascii="Calibri" w:cs="Calibri" w:eastAsia="Calibri" w:hAnsi="Calibri"/>
                <w:color w:val="222222"/>
                <w:sz w:val="19"/>
                <w:szCs w:val="19"/>
              </w:rPr>
              <w:t xml:space="preserve">Announce completion</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Infrastructure</w:t>
            </w:r>
          </w:p>
        </w:tc>
        <w:tc>
          <w:tcPr>
            <w:tcW w:type="dxa" w:w="1900"/>
            <w:shd w:fill="FFFFFF" w:val="clear"/>
            <w:tcMar>
              <w:top w:type="dxa" w:w="90"/>
              <w:left w:type="dxa" w:w="120"/>
              <w:bottom w:type="dxa" w:w="90"/>
              <w:right w:type="dxa" w:w="120"/>
            </w:tcMar>
          </w:tcPr>
          <w:p>
            <w:r>
              <w:rPr>
                <w:rFonts w:ascii="Calibri" w:cs="Calibri" w:eastAsia="Calibri" w:hAnsi="Calibri"/>
                <w:color w:val="222222"/>
                <w:sz w:val="19"/>
                <w:szCs w:val="19"/>
              </w:rPr>
              <w:t xml:space="preserve">5 min</w:t>
            </w:r>
          </w:p>
        </w:tc>
      </w:tr>
    </w:tbl>
    <w:p>
      <w:pPr>
        <w:spacing w:after="120"/>
      </w:pPr>
    </w:p>
    <w:p>
      <w:pPr>
        <w:pStyle w:val="Heading2"/>
        <w:spacing w:after="120" w:before="300"/>
      </w:pPr>
      <w:r>
        <w:rPr>
          <w:rFonts w:ascii="Calibri" w:cs="Calibri" w:eastAsia="Calibri" w:hAnsi="Calibri"/>
          <w:b/>
          <w:bCs/>
          <w:color w:val="1F3B57"/>
          <w:sz w:val="24"/>
          <w:szCs w:val="24"/>
        </w:rPr>
        <w:t xml:space="preserve">6.2 Execution</w:t>
      </w:r>
    </w:p>
    <w:p>
      <w:pPr>
        <w:spacing w:after="160"/>
      </w:pPr>
      <w:r>
        <w:rPr>
          <w:rFonts w:ascii="Calibri" w:cs="Calibri" w:eastAsia="Calibri" w:hAnsi="Calibri"/>
          <w:color w:val="222222"/>
          <w:sz w:val="21"/>
          <w:szCs w:val="21"/>
        </w:rPr>
        <w:t xml:space="preserve">The script is executed exactly as received from the development team via the standard deployment pipeline — Infrastructure does not alter script contents at execution time. Where the pipeline supports it, a dry-run/check pass is done first to preview the change without applying it. The pipeline must be configured to halt (not proceed to the application deploy step) if the migration step fails.</w:t>
      </w:r>
    </w:p>
    <w:p>
      <w:pPr>
        <w:shd w:fill="F2F2F2" w:val="clear"/>
        <w:spacing w:after="200"/>
      </w:pPr>
      <w:r>
        <w:rPr>
          <w:rFonts w:ascii="Consolas" w:cs="Consolas" w:eastAsia="Consolas" w:hAnsi="Consolas"/>
          <w:color w:val="222222"/>
          <w:sz w:val="19"/>
          <w:szCs w:val="19"/>
        </w:rPr>
        <w:t xml:space="preserve">[deployment-pipeline] run migration --target=production --env=patatte-prod
# e.g. CI/CD job, orchestration tool, or platform-specific deploy command</w:t>
      </w:r>
    </w:p>
    <w:p>
      <w:pPr>
        <w:pStyle w:val="Heading2"/>
        <w:spacing w:after="120" w:before="300"/>
      </w:pPr>
      <w:r>
        <w:rPr>
          <w:rFonts w:ascii="Calibri" w:cs="Calibri" w:eastAsia="Calibri" w:hAnsi="Calibri"/>
          <w:b/>
          <w:bCs/>
          <w:color w:val="1F3B57"/>
          <w:sz w:val="24"/>
          <w:szCs w:val="24"/>
        </w:rPr>
        <w:t xml:space="preserve">6.3 Post-migration verification</w:t>
      </w:r>
    </w:p>
    <w:p>
      <w:pPr>
        <w:spacing w:after="160"/>
      </w:pPr>
      <w:r>
        <w:rPr>
          <w:rFonts w:ascii="Calibri" w:cs="Calibri" w:eastAsia="Calibri" w:hAnsi="Calibri"/>
          <w:color w:val="222222"/>
          <w:sz w:val="21"/>
          <w:szCs w:val="21"/>
        </w:rPr>
        <w:t xml:space="preserve">Run immediately after the script completes, before disabling maintenance mode. Compare against the pre-migration baseline captured in Section 4.2.</w:t>
      </w:r>
    </w:p>
    <w:p>
      <w:pPr>
        <w:pStyle w:val="ListParagraph"/>
        <w:numPr>
          <w:ilvl w:val="0"/>
          <w:numId w:val="2"/>
        </w:numPr>
        <w:spacing w:after="80"/>
      </w:pPr>
      <w:r>
        <w:rPr>
          <w:rFonts w:ascii="Calibri" w:cs="Calibri" w:eastAsia="Calibri" w:hAnsi="Calibri"/>
          <w:color w:val="222222"/>
          <w:sz w:val="21"/>
          <w:szCs w:val="21"/>
        </w:rPr>
        <w:t xml:space="preserve">Row counts on every affected table match the pre-migration baseline (± only the expected new rows)</w:t>
      </w:r>
    </w:p>
    <w:p>
      <w:pPr>
        <w:pStyle w:val="ListParagraph"/>
        <w:numPr>
          <w:ilvl w:val="0"/>
          <w:numId w:val="2"/>
        </w:numPr>
        <w:spacing w:after="80"/>
      </w:pPr>
      <w:r>
        <w:rPr>
          <w:rFonts w:ascii="Calibri" w:cs="Calibri" w:eastAsia="Calibri" w:hAnsi="Calibri"/>
          <w:color w:val="222222"/>
          <w:sz w:val="21"/>
          <w:szCs w:val="21"/>
        </w:rPr>
        <w:t xml:space="preserve">Spot-check a sample of rows in any backfilled or transformed column against the source data</w:t>
      </w:r>
    </w:p>
    <w:p>
      <w:pPr>
        <w:pStyle w:val="ListParagraph"/>
        <w:numPr>
          <w:ilvl w:val="0"/>
          <w:numId w:val="2"/>
        </w:numPr>
        <w:spacing w:after="80"/>
      </w:pPr>
      <w:r>
        <w:rPr>
          <w:rFonts w:ascii="Calibri" w:cs="Calibri" w:eastAsia="Calibri" w:hAnsi="Calibri"/>
          <w:color w:val="222222"/>
          <w:sz w:val="21"/>
          <w:szCs w:val="21"/>
        </w:rPr>
        <w:t xml:space="preserve">No unexpected nulls in columns that are now required/non-nullable</w:t>
      </w:r>
    </w:p>
    <w:p>
      <w:pPr>
        <w:pStyle w:val="ListParagraph"/>
        <w:numPr>
          <w:ilvl w:val="0"/>
          <w:numId w:val="2"/>
        </w:numPr>
        <w:spacing w:after="80"/>
      </w:pPr>
      <w:r>
        <w:rPr>
          <w:rFonts w:ascii="Calibri" w:cs="Calibri" w:eastAsia="Calibri" w:hAnsi="Calibri"/>
          <w:color w:val="222222"/>
          <w:sz w:val="21"/>
          <w:szCs w:val="21"/>
        </w:rPr>
        <w:t xml:space="preserve">Referential integrity (foreign keys / relations) validates cleanly with no orphaned records</w:t>
      </w:r>
    </w:p>
    <w:p>
      <w:pPr>
        <w:pStyle w:val="Heading2"/>
        <w:spacing w:after="120" w:before="300"/>
      </w:pPr>
      <w:r>
        <w:rPr>
          <w:rFonts w:ascii="Calibri" w:cs="Calibri" w:eastAsia="Calibri" w:hAnsi="Calibri"/>
          <w:b/>
          <w:bCs/>
          <w:color w:val="1F3B57"/>
          <w:sz w:val="24"/>
          <w:szCs w:val="24"/>
        </w:rPr>
        <w:t xml:space="preserve">6.4 Smoke test checklist</w:t>
      </w:r>
    </w:p>
    <w:p>
      <w:pPr>
        <w:spacing w:after="160"/>
      </w:pPr>
      <w:r>
        <w:rPr>
          <w:rFonts w:ascii="Calibri" w:cs="Calibri" w:eastAsia="Calibri" w:hAnsi="Calibri"/>
          <w:color w:val="222222"/>
          <w:sz w:val="21"/>
          <w:szCs w:val="21"/>
        </w:rPr>
        <w:t xml:space="preserve">Critical user-facing flows to verify before declaring the deployment complete: [list the flows specific to Patatte here, e.g. account login, core transaction flow, order/status update, payment confirmation].</w:t>
      </w:r>
    </w:p>
    <w:p>
      <w:pPr>
        <w:pStyle w:val="ListParagraph"/>
        <w:numPr>
          <w:ilvl w:val="0"/>
          <w:numId w:val="2"/>
        </w:numPr>
        <w:spacing w:after="80"/>
      </w:pPr>
      <w:r>
        <w:rPr>
          <w:rFonts w:ascii="Calibri" w:cs="Calibri" w:eastAsia="Calibri" w:hAnsi="Calibri"/>
          <w:color w:val="222222"/>
          <w:sz w:val="21"/>
          <w:szCs w:val="21"/>
        </w:rPr>
        <w:t xml:space="preserve">[Flow 1]</w:t>
      </w:r>
    </w:p>
    <w:p>
      <w:pPr>
        <w:pStyle w:val="ListParagraph"/>
        <w:numPr>
          <w:ilvl w:val="0"/>
          <w:numId w:val="2"/>
        </w:numPr>
        <w:spacing w:after="80"/>
      </w:pPr>
      <w:r>
        <w:rPr>
          <w:rFonts w:ascii="Calibri" w:cs="Calibri" w:eastAsia="Calibri" w:hAnsi="Calibri"/>
          <w:color w:val="222222"/>
          <w:sz w:val="21"/>
          <w:szCs w:val="21"/>
        </w:rPr>
        <w:t xml:space="preserve">[Flow 2]</w:t>
      </w:r>
    </w:p>
    <w:p>
      <w:pPr>
        <w:pStyle w:val="ListParagraph"/>
        <w:numPr>
          <w:ilvl w:val="0"/>
          <w:numId w:val="2"/>
        </w:numPr>
        <w:spacing w:after="80"/>
      </w:pPr>
      <w:r>
        <w:rPr>
          <w:rFonts w:ascii="Calibri" w:cs="Calibri" w:eastAsia="Calibri" w:hAnsi="Calibri"/>
          <w:color w:val="222222"/>
          <w:sz w:val="21"/>
          <w:szCs w:val="21"/>
        </w:rPr>
        <w:t xml:space="preserve">[Flow 3]</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7. Rollback Procedure</w:t>
      </w:r>
    </w:p>
    <w:p>
      <w:pPr>
        <w:spacing w:after="160"/>
      </w:pPr>
      <w:r>
        <w:rPr>
          <w:rFonts w:ascii="Calibri" w:cs="Calibri" w:eastAsia="Calibri" w:hAnsi="Calibri"/>
          <w:color w:val="222222"/>
          <w:sz w:val="21"/>
          <w:szCs w:val="21"/>
        </w:rPr>
        <w:t xml:space="preserve">If a rollback trigger from Section 5.3 is hit, follow this procedure rather than attempting to patch forward under pressure.</w:t>
      </w:r>
    </w:p>
    <w:p>
      <w:pPr>
        <w:pStyle w:val="ListParagraph"/>
        <w:numPr>
          <w:ilvl w:val="0"/>
          <w:numId w:val="3"/>
        </w:numPr>
        <w:spacing w:after="80"/>
      </w:pPr>
      <w:r>
        <w:rPr>
          <w:rFonts w:ascii="Calibri" w:cs="Calibri" w:eastAsia="Calibri" w:hAnsi="Calibri"/>
          <w:sz w:val="21"/>
          <w:szCs w:val="21"/>
        </w:rPr>
        <w:t xml:space="preserve">Re-enable maintenance mode / drain traffic immediately.</w:t>
      </w:r>
    </w:p>
    <w:p>
      <w:pPr>
        <w:pStyle w:val="ListParagraph"/>
        <w:numPr>
          <w:ilvl w:val="0"/>
          <w:numId w:val="3"/>
        </w:numPr>
        <w:spacing w:after="80"/>
      </w:pPr>
      <w:r>
        <w:rPr>
          <w:rFonts w:ascii="Calibri" w:cs="Calibri" w:eastAsia="Calibri" w:hAnsi="Calibri"/>
          <w:sz w:val="21"/>
          <w:szCs w:val="21"/>
        </w:rPr>
        <w:t xml:space="preserve">If the development team has confirmed a reverse script (Section 2) and no destructive step has run yet, execute the reverse script.</w:t>
      </w:r>
    </w:p>
    <w:p>
      <w:pPr>
        <w:pStyle w:val="ListParagraph"/>
        <w:numPr>
          <w:ilvl w:val="0"/>
          <w:numId w:val="3"/>
        </w:numPr>
        <w:spacing w:after="80"/>
      </w:pPr>
      <w:r>
        <w:rPr>
          <w:rFonts w:ascii="Calibri" w:cs="Calibri" w:eastAsia="Calibri" w:hAnsi="Calibri"/>
          <w:sz w:val="21"/>
          <w:szCs w:val="21"/>
        </w:rPr>
        <w:t xml:space="preserve">If a destructive or non-reversible step has already run, restore the pre-migration backup to a scratch instance, verify it, then cut production over to it.</w:t>
      </w:r>
    </w:p>
    <w:p>
      <w:pPr>
        <w:pStyle w:val="ListParagraph"/>
        <w:numPr>
          <w:ilvl w:val="0"/>
          <w:numId w:val="3"/>
        </w:numPr>
        <w:spacing w:after="80"/>
      </w:pPr>
      <w:r>
        <w:rPr>
          <w:rFonts w:ascii="Calibri" w:cs="Calibri" w:eastAsia="Calibri" w:hAnsi="Calibri"/>
          <w:sz w:val="21"/>
          <w:szCs w:val="21"/>
        </w:rPr>
        <w:t xml:space="preserve">Redeploy the previous known-good application release via the standard deployment pipeline.</w:t>
      </w:r>
    </w:p>
    <w:p>
      <w:pPr>
        <w:pStyle w:val="ListParagraph"/>
        <w:numPr>
          <w:ilvl w:val="0"/>
          <w:numId w:val="3"/>
        </w:numPr>
        <w:spacing w:after="80"/>
      </w:pPr>
      <w:r>
        <w:rPr>
          <w:rFonts w:ascii="Calibri" w:cs="Calibri" w:eastAsia="Calibri" w:hAnsi="Calibri"/>
          <w:sz w:val="21"/>
          <w:szCs w:val="21"/>
        </w:rPr>
        <w:t xml:space="preserve">Re-run smoke tests (6.4) against the restored/rolled-back state.</w:t>
      </w:r>
    </w:p>
    <w:p>
      <w:pPr>
        <w:pStyle w:val="ListParagraph"/>
        <w:numPr>
          <w:ilvl w:val="0"/>
          <w:numId w:val="3"/>
        </w:numPr>
        <w:spacing w:after="80"/>
      </w:pPr>
      <w:r>
        <w:rPr>
          <w:rFonts w:ascii="Calibri" w:cs="Calibri" w:eastAsia="Calibri" w:hAnsi="Calibri"/>
          <w:sz w:val="21"/>
          <w:szCs w:val="21"/>
        </w:rPr>
        <w:t xml:space="preserve">Disable maintenance mode.</w:t>
      </w:r>
    </w:p>
    <w:p>
      <w:pPr>
        <w:pStyle w:val="ListParagraph"/>
        <w:numPr>
          <w:ilvl w:val="0"/>
          <w:numId w:val="3"/>
        </w:numPr>
        <w:spacing w:after="80"/>
      </w:pPr>
      <w:r>
        <w:rPr>
          <w:rFonts w:ascii="Calibri" w:cs="Calibri" w:eastAsia="Calibri" w:hAnsi="Calibri"/>
          <w:sz w:val="21"/>
          <w:szCs w:val="21"/>
        </w:rPr>
        <w:t xml:space="preserve">Announce the rollback to stakeholders with a brief cause summary.</w:t>
      </w:r>
    </w:p>
    <w:p>
      <w:pPr>
        <w:pStyle w:val="ListParagraph"/>
        <w:numPr>
          <w:ilvl w:val="0"/>
          <w:numId w:val="3"/>
        </w:numPr>
        <w:spacing w:after="80"/>
      </w:pPr>
      <w:r>
        <w:rPr>
          <w:rFonts w:ascii="Calibri" w:cs="Calibri" w:eastAsia="Calibri" w:hAnsi="Calibri"/>
          <w:sz w:val="21"/>
          <w:szCs w:val="21"/>
        </w:rPr>
        <w:t xml:space="preserve">Schedule a retro with the development team before re-attempting the migration.</w:t>
      </w: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8. Communication Plan</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2000"/>
        <w:gridCol w:w="3400"/>
      </w:tblGrid>
      <w:tr>
        <w:trPr>
          <w:tblHeader/>
        </w:trPr>
        <w:tc>
          <w:tcPr>
            <w:tcW w:type="dxa" w:w="13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When</w:t>
            </w:r>
          </w:p>
        </w:tc>
        <w:tc>
          <w:tcPr>
            <w:tcW w:type="dxa" w:w="18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Audience</w:t>
            </w:r>
          </w:p>
        </w:tc>
        <w:tc>
          <w:tcPr>
            <w:tcW w:type="dxa" w:w="20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Channel</w:t>
            </w:r>
          </w:p>
        </w:tc>
        <w:tc>
          <w:tcPr>
            <w:tcW w:type="dxa" w:w="34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Message</w:t>
            </w:r>
          </w:p>
        </w:tc>
      </w:tr>
      <w:tr>
        <w:tc>
          <w:tcPr>
            <w:tcW w:type="dxa" w:w="1300"/>
            <w:shd w:fill="FFFFFF" w:val="clear"/>
            <w:tcMar>
              <w:top w:type="dxa" w:w="90"/>
              <w:left w:type="dxa" w:w="120"/>
              <w:bottom w:type="dxa" w:w="90"/>
              <w:right w:type="dxa" w:w="120"/>
            </w:tcMar>
          </w:tcPr>
          <w:p>
            <w:r>
              <w:rPr>
                <w:rFonts w:ascii="Calibri" w:cs="Calibri" w:eastAsia="Calibri" w:hAnsi="Calibri"/>
                <w:color w:val="222222"/>
                <w:sz w:val="19"/>
                <w:szCs w:val="19"/>
              </w:rPr>
              <w:t xml:space="preserve">T-2 days</w:t>
            </w:r>
          </w:p>
        </w:tc>
        <w:tc>
          <w:tcPr>
            <w:tcW w:type="dxa" w:w="1800"/>
            <w:shd w:fill="FFFFFF" w:val="clear"/>
            <w:tcMar>
              <w:top w:type="dxa" w:w="90"/>
              <w:left w:type="dxa" w:w="120"/>
              <w:bottom w:type="dxa" w:w="90"/>
              <w:right w:type="dxa" w:w="120"/>
            </w:tcMar>
          </w:tcPr>
          <w:p>
            <w:r>
              <w:rPr>
                <w:rFonts w:ascii="Calibri" w:cs="Calibri" w:eastAsia="Calibri" w:hAnsi="Calibri"/>
                <w:color w:val="222222"/>
                <w:sz w:val="19"/>
                <w:szCs w:val="19"/>
              </w:rPr>
              <w:t xml:space="preserve">Stakeholders</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[channel]</w:t>
            </w:r>
          </w:p>
        </w:tc>
        <w:tc>
          <w:tcPr>
            <w:tcW w:type="dxa" w:w="3400"/>
            <w:shd w:fill="FFFFFF" w:val="clear"/>
            <w:tcMar>
              <w:top w:type="dxa" w:w="90"/>
              <w:left w:type="dxa" w:w="120"/>
              <w:bottom w:type="dxa" w:w="90"/>
              <w:right w:type="dxa" w:w="120"/>
            </w:tcMar>
          </w:tcPr>
          <w:p>
            <w:r>
              <w:rPr>
                <w:rFonts w:ascii="Calibri" w:cs="Calibri" w:eastAsia="Calibri" w:hAnsi="Calibri"/>
                <w:color w:val="222222"/>
                <w:sz w:val="19"/>
                <w:szCs w:val="19"/>
              </w:rPr>
              <w:t xml:space="preserve">Deployment window scheduled for [date/time], expected downtime [X min or none]</w:t>
            </w:r>
          </w:p>
        </w:tc>
      </w:tr>
      <w:tr>
        <w:tc>
          <w:tcPr>
            <w:tcW w:type="dxa" w:w="1300"/>
            <w:shd w:fill="F2F2F2" w:val="clear"/>
            <w:tcMar>
              <w:top w:type="dxa" w:w="90"/>
              <w:left w:type="dxa" w:w="120"/>
              <w:bottom w:type="dxa" w:w="90"/>
              <w:right w:type="dxa" w:w="120"/>
            </w:tcMar>
          </w:tcPr>
          <w:p>
            <w:r>
              <w:rPr>
                <w:rFonts w:ascii="Calibri" w:cs="Calibri" w:eastAsia="Calibri" w:hAnsi="Calibri"/>
                <w:color w:val="222222"/>
                <w:sz w:val="19"/>
                <w:szCs w:val="19"/>
              </w:rPr>
              <w:t xml:space="preserve">T-1 hour</w:t>
            </w:r>
          </w:p>
        </w:tc>
        <w:tc>
          <w:tcPr>
            <w:tcW w:type="dxa" w:w="1800"/>
            <w:shd w:fill="F2F2F2" w:val="clear"/>
            <w:tcMar>
              <w:top w:type="dxa" w:w="90"/>
              <w:left w:type="dxa" w:w="120"/>
              <w:bottom w:type="dxa" w:w="90"/>
              <w:right w:type="dxa" w:w="120"/>
            </w:tcMar>
          </w:tcPr>
          <w:p>
            <w:r>
              <w:rPr>
                <w:rFonts w:ascii="Calibri" w:cs="Calibri" w:eastAsia="Calibri" w:hAnsi="Calibri"/>
                <w:color w:val="222222"/>
                <w:sz w:val="19"/>
                <w:szCs w:val="19"/>
              </w:rPr>
              <w:t xml:space="preserve">Internal team</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[channel]</w:t>
            </w:r>
          </w:p>
        </w:tc>
        <w:tc>
          <w:tcPr>
            <w:tcW w:type="dxa" w:w="3400"/>
            <w:shd w:fill="F2F2F2" w:val="clear"/>
            <w:tcMar>
              <w:top w:type="dxa" w:w="90"/>
              <w:left w:type="dxa" w:w="120"/>
              <w:bottom w:type="dxa" w:w="90"/>
              <w:right w:type="dxa" w:w="120"/>
            </w:tcMar>
          </w:tcPr>
          <w:p>
            <w:r>
              <w:rPr>
                <w:rFonts w:ascii="Calibri" w:cs="Calibri" w:eastAsia="Calibri" w:hAnsi="Calibri"/>
                <w:color w:val="222222"/>
                <w:sz w:val="19"/>
                <w:szCs w:val="19"/>
              </w:rPr>
              <w:t xml:space="preserve">Final go/no-go confirmation, backup verified</w:t>
            </w:r>
          </w:p>
        </w:tc>
      </w:tr>
      <w:tr>
        <w:tc>
          <w:tcPr>
            <w:tcW w:type="dxa" w:w="1300"/>
            <w:shd w:fill="FFFFFF" w:val="clear"/>
            <w:tcMar>
              <w:top w:type="dxa" w:w="90"/>
              <w:left w:type="dxa" w:w="120"/>
              <w:bottom w:type="dxa" w:w="90"/>
              <w:right w:type="dxa" w:w="120"/>
            </w:tcMar>
          </w:tcPr>
          <w:p>
            <w:r>
              <w:rPr>
                <w:rFonts w:ascii="Calibri" w:cs="Calibri" w:eastAsia="Calibri" w:hAnsi="Calibri"/>
                <w:color w:val="222222"/>
                <w:sz w:val="19"/>
                <w:szCs w:val="19"/>
              </w:rPr>
              <w:t xml:space="preserve">T-0 (start)</w:t>
            </w:r>
          </w:p>
        </w:tc>
        <w:tc>
          <w:tcPr>
            <w:tcW w:type="dxa" w:w="1800"/>
            <w:shd w:fill="FFFFFF" w:val="clear"/>
            <w:tcMar>
              <w:top w:type="dxa" w:w="90"/>
              <w:left w:type="dxa" w:w="120"/>
              <w:bottom w:type="dxa" w:w="90"/>
              <w:right w:type="dxa" w:w="120"/>
            </w:tcMar>
          </w:tcPr>
          <w:p>
            <w:r>
              <w:rPr>
                <w:rFonts w:ascii="Calibri" w:cs="Calibri" w:eastAsia="Calibri" w:hAnsi="Calibri"/>
                <w:color w:val="222222"/>
                <w:sz w:val="19"/>
                <w:szCs w:val="19"/>
              </w:rPr>
              <w:t xml:space="preserve">Users, if downtime expected</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[status page / in-app banner]</w:t>
            </w:r>
          </w:p>
        </w:tc>
        <w:tc>
          <w:tcPr>
            <w:tcW w:type="dxa" w:w="3400"/>
            <w:shd w:fill="FFFFFF" w:val="clear"/>
            <w:tcMar>
              <w:top w:type="dxa" w:w="90"/>
              <w:left w:type="dxa" w:w="120"/>
              <w:bottom w:type="dxa" w:w="90"/>
              <w:right w:type="dxa" w:w="120"/>
            </w:tcMar>
          </w:tcPr>
          <w:p>
            <w:r>
              <w:rPr>
                <w:rFonts w:ascii="Calibri" w:cs="Calibri" w:eastAsia="Calibri" w:hAnsi="Calibri"/>
                <w:color w:val="222222"/>
                <w:sz w:val="19"/>
                <w:szCs w:val="19"/>
              </w:rPr>
              <w:t xml:space="preserve">Maintenance in progress</w:t>
            </w:r>
          </w:p>
        </w:tc>
      </w:tr>
      <w:tr>
        <w:tc>
          <w:tcPr>
            <w:tcW w:type="dxa" w:w="1300"/>
            <w:shd w:fill="F2F2F2" w:val="clear"/>
            <w:tcMar>
              <w:top w:type="dxa" w:w="90"/>
              <w:left w:type="dxa" w:w="120"/>
              <w:bottom w:type="dxa" w:w="90"/>
              <w:right w:type="dxa" w:w="120"/>
            </w:tcMar>
          </w:tcPr>
          <w:p>
            <w:r>
              <w:rPr>
                <w:rFonts w:ascii="Calibri" w:cs="Calibri" w:eastAsia="Calibri" w:hAnsi="Calibri"/>
                <w:color w:val="222222"/>
                <w:sz w:val="19"/>
                <w:szCs w:val="19"/>
              </w:rPr>
              <w:t xml:space="preserve">T-0 (end)</w:t>
            </w:r>
          </w:p>
        </w:tc>
        <w:tc>
          <w:tcPr>
            <w:tcW w:type="dxa" w:w="1800"/>
            <w:shd w:fill="F2F2F2" w:val="clear"/>
            <w:tcMar>
              <w:top w:type="dxa" w:w="90"/>
              <w:left w:type="dxa" w:w="120"/>
              <w:bottom w:type="dxa" w:w="90"/>
              <w:right w:type="dxa" w:w="120"/>
            </w:tcMar>
          </w:tcPr>
          <w:p>
            <w:r>
              <w:rPr>
                <w:rFonts w:ascii="Calibri" w:cs="Calibri" w:eastAsia="Calibri" w:hAnsi="Calibri"/>
                <w:color w:val="222222"/>
                <w:sz w:val="19"/>
                <w:szCs w:val="19"/>
              </w:rPr>
              <w:t xml:space="preserve">Stakeholders</w:t>
            </w:r>
          </w:p>
        </w:tc>
        <w:tc>
          <w:tcPr>
            <w:tcW w:type="dxa" w:w="2000"/>
            <w:shd w:fill="F2F2F2" w:val="clear"/>
            <w:tcMar>
              <w:top w:type="dxa" w:w="90"/>
              <w:left w:type="dxa" w:w="120"/>
              <w:bottom w:type="dxa" w:w="90"/>
              <w:right w:type="dxa" w:w="120"/>
            </w:tcMar>
          </w:tcPr>
          <w:p>
            <w:r>
              <w:rPr>
                <w:rFonts w:ascii="Calibri" w:cs="Calibri" w:eastAsia="Calibri" w:hAnsi="Calibri"/>
                <w:color w:val="222222"/>
                <w:sz w:val="19"/>
                <w:szCs w:val="19"/>
              </w:rPr>
              <w:t xml:space="preserve">[channel]</w:t>
            </w:r>
          </w:p>
        </w:tc>
        <w:tc>
          <w:tcPr>
            <w:tcW w:type="dxa" w:w="3400"/>
            <w:shd w:fill="F2F2F2" w:val="clear"/>
            <w:tcMar>
              <w:top w:type="dxa" w:w="90"/>
              <w:left w:type="dxa" w:w="120"/>
              <w:bottom w:type="dxa" w:w="90"/>
              <w:right w:type="dxa" w:w="120"/>
            </w:tcMar>
          </w:tcPr>
          <w:p>
            <w:r>
              <w:rPr>
                <w:rFonts w:ascii="Calibri" w:cs="Calibri" w:eastAsia="Calibri" w:hAnsi="Calibri"/>
                <w:color w:val="222222"/>
                <w:sz w:val="19"/>
                <w:szCs w:val="19"/>
              </w:rPr>
              <w:t xml:space="preserve">Deployment complete, systems verified</w:t>
            </w:r>
          </w:p>
        </w:tc>
      </w:tr>
      <w:tr>
        <w:tc>
          <w:tcPr>
            <w:tcW w:type="dxa" w:w="1300"/>
            <w:shd w:fill="FFFFFF" w:val="clear"/>
            <w:tcMar>
              <w:top w:type="dxa" w:w="90"/>
              <w:left w:type="dxa" w:w="120"/>
              <w:bottom w:type="dxa" w:w="90"/>
              <w:right w:type="dxa" w:w="120"/>
            </w:tcMar>
          </w:tcPr>
          <w:p>
            <w:r>
              <w:rPr>
                <w:rFonts w:ascii="Calibri" w:cs="Calibri" w:eastAsia="Calibri" w:hAnsi="Calibri"/>
                <w:color w:val="222222"/>
                <w:sz w:val="19"/>
                <w:szCs w:val="19"/>
              </w:rPr>
              <w:t xml:space="preserve">If rollback</w:t>
            </w:r>
          </w:p>
        </w:tc>
        <w:tc>
          <w:tcPr>
            <w:tcW w:type="dxa" w:w="1800"/>
            <w:shd w:fill="FFFFFF" w:val="clear"/>
            <w:tcMar>
              <w:top w:type="dxa" w:w="90"/>
              <w:left w:type="dxa" w:w="120"/>
              <w:bottom w:type="dxa" w:w="90"/>
              <w:right w:type="dxa" w:w="120"/>
            </w:tcMar>
          </w:tcPr>
          <w:p>
            <w:r>
              <w:rPr>
                <w:rFonts w:ascii="Calibri" w:cs="Calibri" w:eastAsia="Calibri" w:hAnsi="Calibri"/>
                <w:color w:val="222222"/>
                <w:sz w:val="19"/>
                <w:szCs w:val="19"/>
              </w:rPr>
              <w:t xml:space="preserve">Stakeholders</w:t>
            </w:r>
          </w:p>
        </w:tc>
        <w:tc>
          <w:tcPr>
            <w:tcW w:type="dxa" w:w="2000"/>
            <w:shd w:fill="FFFFFF" w:val="clear"/>
            <w:tcMar>
              <w:top w:type="dxa" w:w="90"/>
              <w:left w:type="dxa" w:w="120"/>
              <w:bottom w:type="dxa" w:w="90"/>
              <w:right w:type="dxa" w:w="120"/>
            </w:tcMar>
          </w:tcPr>
          <w:p>
            <w:r>
              <w:rPr>
                <w:rFonts w:ascii="Calibri" w:cs="Calibri" w:eastAsia="Calibri" w:hAnsi="Calibri"/>
                <w:color w:val="222222"/>
                <w:sz w:val="19"/>
                <w:szCs w:val="19"/>
              </w:rPr>
              <w:t xml:space="preserve">[channel]</w:t>
            </w:r>
          </w:p>
        </w:tc>
        <w:tc>
          <w:tcPr>
            <w:tcW w:type="dxa" w:w="3400"/>
            <w:shd w:fill="FFFFFF" w:val="clear"/>
            <w:tcMar>
              <w:top w:type="dxa" w:w="90"/>
              <w:left w:type="dxa" w:w="120"/>
              <w:bottom w:type="dxa" w:w="90"/>
              <w:right w:type="dxa" w:w="120"/>
            </w:tcMar>
          </w:tcPr>
          <w:p>
            <w:r>
              <w:rPr>
                <w:rFonts w:ascii="Calibri" w:cs="Calibri" w:eastAsia="Calibri" w:hAnsi="Calibri"/>
                <w:color w:val="222222"/>
                <w:sz w:val="19"/>
                <w:szCs w:val="19"/>
              </w:rPr>
              <w:t xml:space="preserve">Issue encountered, rolled back to previous state, no data loss, retro scheduled</w:t>
            </w:r>
          </w:p>
        </w:tc>
      </w:tr>
    </w:tbl>
    <w:p>
      <w:pPr>
        <w:spacing w:after="120"/>
      </w:pPr>
    </w:p>
    <w:p>
      <w:r>
        <w:br w:type="page"/>
      </w:r>
    </w:p>
    <w:p>
      <w:pPr>
        <w:pStyle w:val="Heading1"/>
        <w:pBdr>
          <w:bottom w:val="single" w:color="D97B29" w:sz="6" w:space="4"/>
        </w:pBdr>
        <w:spacing w:after="200" w:before="400"/>
      </w:pPr>
      <w:r>
        <w:rPr>
          <w:rFonts w:ascii="Calibri" w:cs="Calibri" w:eastAsia="Calibri" w:hAnsi="Calibri"/>
          <w:b/>
          <w:bCs/>
          <w:color w:val="1F3B57"/>
          <w:sz w:val="30"/>
          <w:szCs w:val="30"/>
        </w:rPr>
        <w:t xml:space="preserve">9. Sign-Off</w:t>
      </w:r>
    </w:p>
    <w:p>
      <w:pPr>
        <w:spacing w:after="160"/>
      </w:pPr>
      <w:r>
        <w:rPr>
          <w:rFonts w:ascii="Calibri" w:cs="Calibri" w:eastAsia="Calibri" w:hAnsi="Calibri"/>
          <w:color w:val="222222"/>
          <w:sz w:val="21"/>
          <w:szCs w:val="21"/>
        </w:rPr>
        <w:t xml:space="preserve">This migration does not run against production until every item below is checked and signed.</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1700"/>
      </w:tblGrid>
      <w:tr>
        <w:trPr>
          <w:tblHeader/>
        </w:trPr>
        <w:tc>
          <w:tcPr>
            <w:tcW w:type="dxa" w:w="42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Item</w:t>
            </w:r>
          </w:p>
        </w:tc>
        <w:tc>
          <w:tcPr>
            <w:tcW w:type="dxa" w:w="26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Confirmed by</w:t>
            </w:r>
          </w:p>
        </w:tc>
        <w:tc>
          <w:tcPr>
            <w:tcW w:type="dxa" w:w="1700"/>
            <w:shd w:fill="1F3B57" w:val="clear"/>
            <w:tcMar>
              <w:top w:type="dxa" w:w="100"/>
              <w:left w:type="dxa" w:w="120"/>
              <w:bottom w:type="dxa" w:w="100"/>
              <w:right w:type="dxa" w:w="120"/>
            </w:tcMar>
          </w:tcPr>
          <w:p>
            <w:r>
              <w:rPr>
                <w:rFonts w:ascii="Calibri" w:cs="Calibri" w:eastAsia="Calibri" w:hAnsi="Calibri"/>
                <w:b/>
                <w:bCs/>
                <w:color w:val="FFFFFF"/>
                <w:sz w:val="19"/>
                <w:szCs w:val="19"/>
              </w:rPr>
              <w:t xml:space="preserve">Date</w:t>
            </w:r>
          </w:p>
        </w:tc>
      </w:tr>
      <w:tr>
        <w:tc>
          <w:tcPr>
            <w:tcW w:type="dxa" w:w="4200"/>
            <w:shd w:fill="FFFFFF" w:val="clear"/>
            <w:tcMar>
              <w:top w:type="dxa" w:w="90"/>
              <w:left w:type="dxa" w:w="120"/>
              <w:bottom w:type="dxa" w:w="90"/>
              <w:right w:type="dxa" w:w="120"/>
            </w:tcMar>
          </w:tcPr>
          <w:p>
            <w:r>
              <w:rPr>
                <w:rFonts w:ascii="Calibri" w:cs="Calibri" w:eastAsia="Calibri" w:hAnsi="Calibri"/>
                <w:color w:val="222222"/>
                <w:sz w:val="19"/>
                <w:szCs w:val="19"/>
              </w:rPr>
              <w:t xml:space="preserve">Section 2 intake complete</w:t>
            </w:r>
          </w:p>
        </w:tc>
        <w:tc>
          <w:tcPr>
            <w:tcW w:type="dxa" w:w="26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r>
      <w:tr>
        <w:tc>
          <w:tcPr>
            <w:tcW w:type="dxa" w:w="4200"/>
            <w:shd w:fill="F2F2F2" w:val="clear"/>
            <w:tcMar>
              <w:top w:type="dxa" w:w="90"/>
              <w:left w:type="dxa" w:w="120"/>
              <w:bottom w:type="dxa" w:w="90"/>
              <w:right w:type="dxa" w:w="120"/>
            </w:tcMar>
          </w:tcPr>
          <w:p>
            <w:r>
              <w:rPr>
                <w:rFonts w:ascii="Calibri" w:cs="Calibri" w:eastAsia="Calibri" w:hAnsi="Calibri"/>
                <w:color w:val="222222"/>
                <w:sz w:val="19"/>
                <w:szCs w:val="19"/>
              </w:rPr>
              <w:t xml:space="preserve">Risk classification agreed (Section 3)</w:t>
            </w:r>
          </w:p>
        </w:tc>
        <w:tc>
          <w:tcPr>
            <w:tcW w:type="dxa" w:w="26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r>
      <w:tr>
        <w:tc>
          <w:tcPr>
            <w:tcW w:type="dxa" w:w="4200"/>
            <w:shd w:fill="FFFFFF" w:val="clear"/>
            <w:tcMar>
              <w:top w:type="dxa" w:w="90"/>
              <w:left w:type="dxa" w:w="120"/>
              <w:bottom w:type="dxa" w:w="90"/>
              <w:right w:type="dxa" w:w="120"/>
            </w:tcMar>
          </w:tcPr>
          <w:p>
            <w:r>
              <w:rPr>
                <w:rFonts w:ascii="Calibri" w:cs="Calibri" w:eastAsia="Calibri" w:hAnsi="Calibri"/>
                <w:color w:val="222222"/>
                <w:sz w:val="19"/>
                <w:szCs w:val="19"/>
              </w:rPr>
              <w:t xml:space="preserve">Backup taken &amp; restore-tested</w:t>
            </w:r>
          </w:p>
        </w:tc>
        <w:tc>
          <w:tcPr>
            <w:tcW w:type="dxa" w:w="26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r>
      <w:tr>
        <w:tc>
          <w:tcPr>
            <w:tcW w:type="dxa" w:w="4200"/>
            <w:shd w:fill="F2F2F2" w:val="clear"/>
            <w:tcMar>
              <w:top w:type="dxa" w:w="90"/>
              <w:left w:type="dxa" w:w="120"/>
              <w:bottom w:type="dxa" w:w="90"/>
              <w:right w:type="dxa" w:w="120"/>
            </w:tcMar>
          </w:tcPr>
          <w:p>
            <w:r>
              <w:rPr>
                <w:rFonts w:ascii="Calibri" w:cs="Calibri" w:eastAsia="Calibri" w:hAnsi="Calibri"/>
                <w:color w:val="222222"/>
                <w:sz w:val="19"/>
                <w:szCs w:val="19"/>
              </w:rPr>
              <w:t xml:space="preserve">Deployment window communicated</w:t>
            </w:r>
          </w:p>
        </w:tc>
        <w:tc>
          <w:tcPr>
            <w:tcW w:type="dxa" w:w="26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r>
      <w:tr>
        <w:tc>
          <w:tcPr>
            <w:tcW w:type="dxa" w:w="4200"/>
            <w:shd w:fill="FFFFFF" w:val="clear"/>
            <w:tcMar>
              <w:top w:type="dxa" w:w="90"/>
              <w:left w:type="dxa" w:w="120"/>
              <w:bottom w:type="dxa" w:w="90"/>
              <w:right w:type="dxa" w:w="120"/>
            </w:tcMar>
          </w:tcPr>
          <w:p>
            <w:r>
              <w:rPr>
                <w:rFonts w:ascii="Calibri" w:cs="Calibri" w:eastAsia="Calibri" w:hAnsi="Calibri"/>
                <w:color w:val="222222"/>
                <w:sz w:val="19"/>
                <w:szCs w:val="19"/>
              </w:rPr>
              <w:t xml:space="preserve">Rollback owner assigned</w:t>
            </w:r>
          </w:p>
        </w:tc>
        <w:tc>
          <w:tcPr>
            <w:tcW w:type="dxa" w:w="26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FFFFF" w:val="clear"/>
            <w:tcMar>
              <w:top w:type="dxa" w:w="90"/>
              <w:left w:type="dxa" w:w="120"/>
              <w:bottom w:type="dxa" w:w="90"/>
              <w:right w:type="dxa" w:w="120"/>
            </w:tcMar>
          </w:tcPr>
          <w:p>
            <w:r>
              <w:rPr>
                <w:rFonts w:ascii="Calibri" w:cs="Calibri" w:eastAsia="Calibri" w:hAnsi="Calibri"/>
                <w:color w:val="222222"/>
                <w:sz w:val="19"/>
                <w:szCs w:val="19"/>
              </w:rPr>
              <w:t xml:space="preserve"/>
            </w:r>
          </w:p>
        </w:tc>
      </w:tr>
      <w:tr>
        <w:tc>
          <w:tcPr>
            <w:tcW w:type="dxa" w:w="4200"/>
            <w:shd w:fill="F2F2F2" w:val="clear"/>
            <w:tcMar>
              <w:top w:type="dxa" w:w="90"/>
              <w:left w:type="dxa" w:w="120"/>
              <w:bottom w:type="dxa" w:w="90"/>
              <w:right w:type="dxa" w:w="120"/>
            </w:tcMar>
          </w:tcPr>
          <w:p>
            <w:r>
              <w:rPr>
                <w:rFonts w:ascii="Calibri" w:cs="Calibri" w:eastAsia="Calibri" w:hAnsi="Calibri"/>
                <w:color w:val="222222"/>
                <w:sz w:val="19"/>
                <w:szCs w:val="19"/>
              </w:rPr>
              <w:t xml:space="preserve">Final go-ahead</w:t>
            </w:r>
          </w:p>
        </w:tc>
        <w:tc>
          <w:tcPr>
            <w:tcW w:type="dxa" w:w="26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c>
          <w:tcPr>
            <w:tcW w:type="dxa" w:w="1700"/>
            <w:shd w:fill="F2F2F2" w:val="clear"/>
            <w:tcMar>
              <w:top w:type="dxa" w:w="90"/>
              <w:left w:type="dxa" w:w="120"/>
              <w:bottom w:type="dxa" w:w="90"/>
              <w:right w:type="dxa" w:w="120"/>
            </w:tcMar>
          </w:tcPr>
          <w:p>
            <w:r>
              <w:rPr>
                <w:rFonts w:ascii="Calibri" w:cs="Calibri" w:eastAsia="Calibri" w:hAnsi="Calibri"/>
                <w:color w:val="222222"/>
                <w:sz w:val="19"/>
                <w:szCs w:val="19"/>
              </w:rPr>
              <w:t xml:space="preserve"/>
            </w:r>
          </w:p>
        </w:tc>
      </w:tr>
    </w:tbl>
    <w:p>
      <w:pPr>
        <w:spacing w:after="200"/>
      </w:pPr>
    </w:p>
    <w:p>
      <w:pPr>
        <w:spacing w:after="160"/>
      </w:pPr>
      <w:r>
        <w:rPr>
          <w:rFonts w:ascii="Calibri" w:cs="Calibri" w:eastAsia="Calibri" w:hAnsi="Calibri"/>
          <w:i/>
          <w:iCs/>
          <w:color w:val="5A5A5A"/>
          <w:sz w:val="21"/>
          <w:szCs w:val="21"/>
        </w:rPr>
        <w:t xml:space="preserve">Appendix: attach the migration script/change files, the pre-migration schema snapshot, and the dev team's test-run confirmation as supporting references.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Patatte — Infrastructure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i/>
        <w:iCs/>
        <w:color w:val="5A5A5A"/>
        <w:sz w:val="16"/>
        <w:szCs w:val="16"/>
      </w:rPr>
      <w:t xml:space="preserve">Patatte Backend — Production Migration Deployment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2026-07-11T09:30:43.586Z</dcterms:created>
  <dcterms:modified xsi:type="dcterms:W3CDTF">2026-07-11T09:30:43.598Z</dcterms:modified>
</cp:coreProperties>
</file>

<file path=docProps/custom.xml><?xml version="1.0" encoding="utf-8"?>
<Properties xmlns="http://schemas.openxmlformats.org/officeDocument/2006/custom-properties" xmlns:vt="http://schemas.openxmlformats.org/officeDocument/2006/docPropsVTypes"/>
</file>