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ixtureTitle"/>
      </w:pPr>
      <w:r>
        <w:t>凌川工业增长峰会 AI 工作简报</w:t>
      </w:r>
    </w:p>
    <w:p>
      <w:pPr>
        <w:pStyle w:val="FixtureSubtitle"/>
      </w:pPr>
      <w:r>
        <w:t>SYNTHETIC FIXTURE | M0-02 document parsing</w:t>
      </w:r>
    </w:p>
    <w:p>
      <w:pPr>
        <w:pStyle w:val="Heading1"/>
      </w:pPr>
      <w:r>
        <w:t>1. 已确认项目输入</w:t>
      </w:r>
    </w:p>
    <w:p>
      <w:r>
        <w:t>活动日为 2026-10-23，形式为单日线下 B2B 峰会。所有品牌、人物和项目数据均为合成内容。</w:t>
      </w:r>
    </w:p>
    <w:p>
      <w:pPr>
        <w:pStyle w:val="Heading2"/>
      </w:pPr>
      <w:r>
        <w:t>1.1 活动目标</w:t>
      </w:r>
    </w:p>
    <w:p>
      <w:r>
        <w:t>主办方确认内容触达、重点客户会面和可追溯复盘是三个项目目标。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5360"/>
        <w:gridCol w:w="2400"/>
      </w:tblGrid>
      <w:tr>
        <w:trPr>
          <w:tblHeader w:val="true"/>
        </w:trPr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FixtureTableHeader"/>
            </w:pPr>
            <w:r>
              <w:t>编号</w:t>
            </w:r>
          </w:p>
        </w:tc>
        <w:tc>
          <w:tcPr>
            <w:tcW w:type="dxa" w:w="5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FixtureTableHeader"/>
            </w:pPr>
            <w:r>
              <w:t>已确认事实</w:t>
            </w:r>
          </w:p>
        </w:tc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FixtureTableHeader"/>
            </w:pPr>
            <w:r>
              <w:t>来源</w:t>
            </w:r>
          </w:p>
        </w:tc>
      </w:tr>
      <w:tr>
        <w:trPr/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SRC-DOCX-01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场地容量上限为 360 人。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合成 Brief</w:t>
            </w:r>
          </w:p>
        </w:tc>
      </w:tr>
      <w:tr>
        <w:trPr/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SRC-DOCX-02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最终进场清单必须在 2026-10-16 前批准。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合成场地规则</w:t>
            </w:r>
          </w:p>
        </w:tc>
      </w:tr>
      <w:tr>
        <w:trPr/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SRC-DOCX-03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正式排期变更需要项目负责人批准。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合成审批规则</w:t>
            </w:r>
          </w:p>
        </w:tc>
      </w:tr>
    </w:tbl>
    <w:p>
      <w:pPr>
        <w:pStyle w:val="Heading1"/>
      </w:pPr>
      <w:r>
        <w:t>2. 执行约束</w:t>
      </w:r>
    </w:p>
    <w:p>
      <w:r>
        <w:t>预算、供应商报价和 ROI 均为未知；解析结果不得补写缺失数字。</w:t>
      </w:r>
    </w:p>
    <w:p>
      <w:r>
        <w:t>原始文件哈希与来源坐标必须随解析块保存，文件变化后需要重新解析。</w:t>
      </w:r>
    </w:p>
    <w:p>
      <w:pPr>
        <w:pStyle w:val="Heading1"/>
      </w:pPr>
      <w:r>
        <w:t>3. 变更审批</w:t>
      </w:r>
    </w:p>
    <w:p>
      <w:r>
        <w:t>下表用于验证表格顺序、单元格坐标和章节路径。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000"/>
        <w:gridCol w:w="1800"/>
        <w:gridCol w:w="2760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FixtureTableHeader"/>
            </w:pPr>
            <w:r>
              <w:t>变更编号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FixtureTableHeader"/>
            </w:pPr>
            <w:r>
              <w:t>影响对象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FixtureTableHeader"/>
            </w:pPr>
            <w:r>
              <w:t>状态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FixtureTableHeader"/>
            </w:pPr>
            <w:r>
              <w:t>审批角色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CHG-DOCX-01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DEL-03 / TASK-080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待审批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项目负责人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CHG-DOCX-02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无正式影响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已驳回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市场负责人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xtureTitle">
    <w:name w:val="Fixture Title"/>
    <w:pPr>
      <w:spacing w:before="0" w:after="80" w:line="240" w:lineRule="auto"/>
    </w:pPr>
    <w:rPr>
      <w:rFonts w:ascii="Calibri" w:hAnsi="Calibri"/>
      <w:b/>
      <w:color w:val="000000"/>
      <w:sz w:val="46"/>
    </w:rPr>
  </w:style>
  <w:style w:type="paragraph" w:customStyle="1" w:styleId="FixtureSubtitle">
    <w:name w:val="Fixture Subtitle"/>
    <w:pPr>
      <w:spacing w:before="0" w:after="280" w:line="240" w:lineRule="auto"/>
    </w:pPr>
    <w:rPr>
      <w:rFonts w:ascii="Calibri" w:hAnsi="Calibri"/>
      <w:b/>
      <w:color w:val="555555"/>
      <w:sz w:val="20"/>
    </w:rPr>
  </w:style>
  <w:style w:type="paragraph" w:customStyle="1" w:styleId="FixtureTableHeader">
    <w:name w:val="Fixture Table Header"/>
    <w:pPr>
      <w:spacing w:before="0" w:after="0" w:line="240" w:lineRule="auto"/>
      <w:jc w:val="center"/>
    </w:pPr>
    <w:rPr>
      <w:rFonts w:ascii="Calibri" w:hAnsi="Calibri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M0-02 Synthetic Document Parser Fixture</dc:title>
  <dc:subject>Synthetic validation data</dc:subject>
  <dc:creator>MarketOps AI Workbench</dc:creator>
  <cp:keywords>synthetic, parser, validation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